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A53EF" w14:textId="70142DB5" w:rsidR="00E016CA" w:rsidRPr="00641866" w:rsidRDefault="00E016CA" w:rsidP="00E65CB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41866">
        <w:rPr>
          <w:rFonts w:ascii="Times New Roman" w:hAnsi="Times New Roman" w:cs="Times New Roman"/>
          <w:b/>
          <w:bCs/>
          <w:sz w:val="28"/>
          <w:szCs w:val="28"/>
        </w:rPr>
        <w:t xml:space="preserve">УДК 612.751.2 </w:t>
      </w:r>
    </w:p>
    <w:p w14:paraId="1B7C1AB3" w14:textId="600F32FA" w:rsidR="00F23BA3" w:rsidRDefault="00E016CA" w:rsidP="00E65CB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16CA">
        <w:rPr>
          <w:rFonts w:ascii="Times New Roman" w:hAnsi="Times New Roman" w:cs="Times New Roman"/>
          <w:b/>
          <w:bCs/>
          <w:sz w:val="28"/>
          <w:szCs w:val="28"/>
        </w:rPr>
        <w:t>ІНДИВІДУАЛЬНІ ОСОБЛИВОСТІ МОРФОГЕНЕЗУ</w:t>
      </w:r>
    </w:p>
    <w:p w14:paraId="466D3193" w14:textId="68E89740" w:rsidR="00871E0C" w:rsidRDefault="00F23BA3" w:rsidP="00E65CB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16CA">
        <w:rPr>
          <w:rFonts w:ascii="Times New Roman" w:hAnsi="Times New Roman" w:cs="Times New Roman"/>
          <w:b/>
          <w:bCs/>
          <w:sz w:val="28"/>
          <w:szCs w:val="28"/>
        </w:rPr>
        <w:t>СУГЛОБОВОГО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016CA">
        <w:rPr>
          <w:rFonts w:ascii="Times New Roman" w:hAnsi="Times New Roman" w:cs="Times New Roman"/>
          <w:b/>
          <w:bCs/>
          <w:sz w:val="28"/>
          <w:szCs w:val="28"/>
        </w:rPr>
        <w:t>ХРЯЩУ ПРИ ГІПЕРУРИКЕМІЇ</w:t>
      </w:r>
    </w:p>
    <w:p w14:paraId="397FD4F8" w14:textId="6287255D" w:rsidR="00473963" w:rsidRDefault="00F23BA3" w:rsidP="0047396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E65CB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</w:t>
      </w:r>
      <w:r w:rsidR="00473963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  <w:r w:rsidR="00E65CB5" w:rsidRPr="00E65CB5">
        <w:rPr>
          <w:rFonts w:ascii="Times New Roman" w:hAnsi="Times New Roman" w:cs="Times New Roman"/>
          <w:b/>
          <w:bCs/>
          <w:sz w:val="28"/>
          <w:szCs w:val="28"/>
        </w:rPr>
        <w:t>Ковальчук Н.В.,</w:t>
      </w:r>
    </w:p>
    <w:p w14:paraId="3D8E749B" w14:textId="75B14C14" w:rsidR="00E016CA" w:rsidRPr="00473963" w:rsidRDefault="00473963" w:rsidP="0047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</w:t>
      </w:r>
      <w:r w:rsidR="00E65CB5" w:rsidRPr="00E65CB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  <w:proofErr w:type="spellStart"/>
      <w:r w:rsidR="00E65CB5" w:rsidRPr="00473963">
        <w:rPr>
          <w:rFonts w:ascii="Times New Roman" w:hAnsi="Times New Roman" w:cs="Times New Roman"/>
          <w:sz w:val="28"/>
          <w:szCs w:val="28"/>
        </w:rPr>
        <w:t>к.м.н</w:t>
      </w:r>
      <w:proofErr w:type="spellEnd"/>
      <w:r w:rsidR="00E65CB5" w:rsidRPr="00473963">
        <w:rPr>
          <w:rFonts w:ascii="Times New Roman" w:hAnsi="Times New Roman" w:cs="Times New Roman"/>
          <w:sz w:val="28"/>
          <w:szCs w:val="28"/>
        </w:rPr>
        <w:t>., доцент;</w:t>
      </w:r>
    </w:p>
    <w:p w14:paraId="61C7332A" w14:textId="02A457FC" w:rsidR="00473963" w:rsidRDefault="00777546" w:rsidP="0047396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</w:t>
      </w:r>
      <w:r w:rsidR="00473963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  <w:proofErr w:type="spellStart"/>
      <w:r w:rsidRPr="00777546">
        <w:rPr>
          <w:rFonts w:ascii="Times New Roman" w:hAnsi="Times New Roman" w:cs="Times New Roman"/>
          <w:b/>
          <w:bCs/>
          <w:sz w:val="28"/>
          <w:szCs w:val="28"/>
        </w:rPr>
        <w:t>Радомська</w:t>
      </w:r>
      <w:proofErr w:type="spellEnd"/>
      <w:r w:rsidRPr="00777546">
        <w:rPr>
          <w:rFonts w:ascii="Times New Roman" w:hAnsi="Times New Roman" w:cs="Times New Roman"/>
          <w:b/>
          <w:bCs/>
          <w:sz w:val="28"/>
          <w:szCs w:val="28"/>
        </w:rPr>
        <w:t xml:space="preserve"> Н.Ю., </w:t>
      </w:r>
    </w:p>
    <w:p w14:paraId="012C9027" w14:textId="2B494043" w:rsidR="00777546" w:rsidRPr="00473963" w:rsidRDefault="00473963" w:rsidP="0047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96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4739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7546" w:rsidRPr="00473963">
        <w:rPr>
          <w:rFonts w:ascii="Times New Roman" w:hAnsi="Times New Roman" w:cs="Times New Roman"/>
          <w:sz w:val="28"/>
          <w:szCs w:val="28"/>
        </w:rPr>
        <w:t>к.м.н</w:t>
      </w:r>
      <w:proofErr w:type="spellEnd"/>
      <w:r w:rsidR="00777546" w:rsidRPr="00473963">
        <w:rPr>
          <w:rFonts w:ascii="Times New Roman" w:hAnsi="Times New Roman" w:cs="Times New Roman"/>
          <w:sz w:val="28"/>
          <w:szCs w:val="28"/>
        </w:rPr>
        <w:t>., доцент;</w:t>
      </w:r>
    </w:p>
    <w:p w14:paraId="074F8622" w14:textId="008759AE" w:rsidR="00473963" w:rsidRDefault="00777546" w:rsidP="0047396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</w:t>
      </w:r>
      <w:r w:rsidR="00473963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  <w:proofErr w:type="spellStart"/>
      <w:r w:rsidRPr="00777546">
        <w:rPr>
          <w:rFonts w:ascii="Times New Roman" w:hAnsi="Times New Roman" w:cs="Times New Roman"/>
          <w:b/>
          <w:bCs/>
          <w:sz w:val="28"/>
          <w:szCs w:val="28"/>
        </w:rPr>
        <w:t>Радомський</w:t>
      </w:r>
      <w:proofErr w:type="spellEnd"/>
      <w:r w:rsidRPr="00777546">
        <w:rPr>
          <w:rFonts w:ascii="Times New Roman" w:hAnsi="Times New Roman" w:cs="Times New Roman"/>
          <w:b/>
          <w:bCs/>
          <w:sz w:val="28"/>
          <w:szCs w:val="28"/>
        </w:rPr>
        <w:t xml:space="preserve"> О.А., </w:t>
      </w:r>
    </w:p>
    <w:p w14:paraId="141DC483" w14:textId="36B827C0" w:rsidR="00777546" w:rsidRPr="00473963" w:rsidRDefault="00473963" w:rsidP="0047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</w:t>
      </w:r>
      <w:proofErr w:type="spellStart"/>
      <w:r w:rsidR="00777546" w:rsidRPr="00473963">
        <w:rPr>
          <w:rFonts w:ascii="Times New Roman" w:hAnsi="Times New Roman" w:cs="Times New Roman"/>
          <w:sz w:val="28"/>
          <w:szCs w:val="28"/>
        </w:rPr>
        <w:t>к.м.н</w:t>
      </w:r>
      <w:proofErr w:type="spellEnd"/>
      <w:r w:rsidR="00777546" w:rsidRPr="00473963">
        <w:rPr>
          <w:rFonts w:ascii="Times New Roman" w:hAnsi="Times New Roman" w:cs="Times New Roman"/>
          <w:sz w:val="28"/>
          <w:szCs w:val="28"/>
        </w:rPr>
        <w:t>., доцент;</w:t>
      </w:r>
    </w:p>
    <w:p w14:paraId="61645F7C" w14:textId="7B8320B2" w:rsidR="00473963" w:rsidRDefault="008429E7" w:rsidP="0047396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473963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29E7">
        <w:rPr>
          <w:rFonts w:ascii="Times New Roman" w:hAnsi="Times New Roman" w:cs="Times New Roman"/>
          <w:b/>
          <w:bCs/>
          <w:sz w:val="28"/>
          <w:szCs w:val="28"/>
        </w:rPr>
        <w:t xml:space="preserve">Леоненко І.М., </w:t>
      </w:r>
    </w:p>
    <w:p w14:paraId="36602E59" w14:textId="555993D0" w:rsidR="008429E7" w:rsidRPr="00473963" w:rsidRDefault="00473963" w:rsidP="0047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</w:t>
      </w:r>
      <w:proofErr w:type="spellStart"/>
      <w:r w:rsidR="008429E7" w:rsidRPr="00473963">
        <w:rPr>
          <w:rFonts w:ascii="Times New Roman" w:hAnsi="Times New Roman" w:cs="Times New Roman"/>
          <w:sz w:val="28"/>
          <w:szCs w:val="28"/>
        </w:rPr>
        <w:t>к.м.н</w:t>
      </w:r>
      <w:proofErr w:type="spellEnd"/>
      <w:r w:rsidR="008429E7" w:rsidRPr="00473963">
        <w:rPr>
          <w:rFonts w:ascii="Times New Roman" w:hAnsi="Times New Roman" w:cs="Times New Roman"/>
          <w:sz w:val="28"/>
          <w:szCs w:val="28"/>
        </w:rPr>
        <w:t>., доцент,</w:t>
      </w:r>
    </w:p>
    <w:p w14:paraId="348D5C0F" w14:textId="4ABD5A6C" w:rsidR="00473963" w:rsidRDefault="008429E7" w:rsidP="0047396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429E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</w:t>
      </w:r>
      <w:r w:rsidR="00473963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  <w:r w:rsidRPr="008429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429E7">
        <w:rPr>
          <w:rFonts w:ascii="Times New Roman" w:hAnsi="Times New Roman" w:cs="Times New Roman"/>
          <w:b/>
          <w:bCs/>
          <w:sz w:val="28"/>
          <w:szCs w:val="28"/>
        </w:rPr>
        <w:t xml:space="preserve">Гордієнко І.А., </w:t>
      </w:r>
    </w:p>
    <w:p w14:paraId="358740B9" w14:textId="480AD481" w:rsidR="008429E7" w:rsidRPr="00473963" w:rsidRDefault="00473963" w:rsidP="0047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</w:t>
      </w:r>
      <w:r w:rsidR="008429E7" w:rsidRPr="00473963">
        <w:rPr>
          <w:rFonts w:ascii="Times New Roman" w:hAnsi="Times New Roman" w:cs="Times New Roman"/>
          <w:sz w:val="28"/>
          <w:szCs w:val="28"/>
        </w:rPr>
        <w:t>асистент</w:t>
      </w:r>
    </w:p>
    <w:p w14:paraId="1CE54665" w14:textId="20AB167E" w:rsidR="000627F0" w:rsidRDefault="000627F0" w:rsidP="000627F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E016CA" w:rsidRPr="00E016CA">
        <w:rPr>
          <w:rFonts w:ascii="Times New Roman" w:hAnsi="Times New Roman" w:cs="Times New Roman"/>
          <w:sz w:val="28"/>
          <w:szCs w:val="28"/>
        </w:rPr>
        <w:t>Приватний вищий навчальний заклад</w:t>
      </w:r>
    </w:p>
    <w:p w14:paraId="45862D35" w14:textId="158E03F9" w:rsidR="000627F0" w:rsidRDefault="000627F0" w:rsidP="000627F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E016CA" w:rsidRPr="00E016CA">
        <w:rPr>
          <w:rFonts w:ascii="Times New Roman" w:hAnsi="Times New Roman" w:cs="Times New Roman"/>
          <w:sz w:val="28"/>
          <w:szCs w:val="28"/>
        </w:rPr>
        <w:t>«Київський медичний університет»</w:t>
      </w:r>
      <w:r w:rsidR="00FE565F">
        <w:rPr>
          <w:rFonts w:ascii="Times New Roman" w:hAnsi="Times New Roman" w:cs="Times New Roman"/>
          <w:sz w:val="28"/>
          <w:szCs w:val="28"/>
        </w:rPr>
        <w:t>,</w:t>
      </w:r>
      <w:r w:rsidR="00E016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D7BA02" w14:textId="0E8109BF" w:rsidR="000627F0" w:rsidRDefault="000627F0" w:rsidP="000627F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E016CA" w:rsidRPr="00E016CA">
        <w:rPr>
          <w:rFonts w:ascii="Times New Roman" w:hAnsi="Times New Roman" w:cs="Times New Roman"/>
          <w:sz w:val="28"/>
          <w:szCs w:val="28"/>
        </w:rPr>
        <w:t xml:space="preserve">кафедра анатомії людини,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топогра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    </w:t>
      </w:r>
    </w:p>
    <w:p w14:paraId="1E427B45" w14:textId="549DD18C" w:rsidR="00E016CA" w:rsidRDefault="000627F0" w:rsidP="000627F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фічної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16CA" w:rsidRPr="00E016CA">
        <w:rPr>
          <w:rFonts w:ascii="Times New Roman" w:hAnsi="Times New Roman" w:cs="Times New Roman"/>
          <w:sz w:val="28"/>
          <w:szCs w:val="28"/>
        </w:rPr>
        <w:t xml:space="preserve">анатомії і оперативної </w:t>
      </w:r>
      <w:r w:rsidR="00E016CA">
        <w:rPr>
          <w:rFonts w:ascii="Times New Roman" w:hAnsi="Times New Roman" w:cs="Times New Roman"/>
          <w:sz w:val="28"/>
          <w:szCs w:val="28"/>
        </w:rPr>
        <w:t xml:space="preserve"> </w:t>
      </w:r>
      <w:r w:rsidR="00FE565F">
        <w:rPr>
          <w:rFonts w:ascii="Times New Roman" w:hAnsi="Times New Roman" w:cs="Times New Roman"/>
          <w:sz w:val="28"/>
          <w:szCs w:val="28"/>
        </w:rPr>
        <w:t xml:space="preserve">хірургії, </w:t>
      </w:r>
    </w:p>
    <w:p w14:paraId="19D44BEF" w14:textId="103EE7D5" w:rsidR="00871E0C" w:rsidRPr="00473963" w:rsidRDefault="000627F0" w:rsidP="000627F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473963" w:rsidRPr="00473963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</w:t>
      </w:r>
      <w:r w:rsidRPr="00E016CA">
        <w:rPr>
          <w:rFonts w:ascii="Times New Roman" w:hAnsi="Times New Roman" w:cs="Times New Roman"/>
          <w:sz w:val="28"/>
          <w:szCs w:val="28"/>
        </w:rPr>
        <w:t xml:space="preserve">м. Київ, </w:t>
      </w:r>
      <w:r>
        <w:rPr>
          <w:rFonts w:ascii="Times New Roman" w:hAnsi="Times New Roman" w:cs="Times New Roman"/>
          <w:sz w:val="28"/>
          <w:szCs w:val="28"/>
        </w:rPr>
        <w:t>Україна</w:t>
      </w:r>
      <w:r w:rsidR="00473963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473963">
        <w:rPr>
          <w:rFonts w:ascii="Times New Roman" w:hAnsi="Times New Roman" w:cs="Times New Roman"/>
          <w:sz w:val="28"/>
          <w:szCs w:val="28"/>
          <w:lang w:val="en-US"/>
        </w:rPr>
        <w:t>izvar</w:t>
      </w:r>
      <w:proofErr w:type="spellEnd"/>
      <w:r w:rsidR="00473963" w:rsidRPr="00473963">
        <w:rPr>
          <w:rFonts w:ascii="Times New Roman" w:hAnsi="Times New Roman" w:cs="Times New Roman"/>
          <w:sz w:val="28"/>
          <w:szCs w:val="28"/>
          <w:lang w:val="ru-RU"/>
        </w:rPr>
        <w:t>999@</w:t>
      </w:r>
      <w:proofErr w:type="spellStart"/>
      <w:r w:rsidR="00473963">
        <w:rPr>
          <w:rFonts w:ascii="Times New Roman" w:hAnsi="Times New Roman" w:cs="Times New Roman"/>
          <w:sz w:val="28"/>
          <w:szCs w:val="28"/>
          <w:lang w:val="en-US"/>
        </w:rPr>
        <w:t>gmail</w:t>
      </w:r>
      <w:proofErr w:type="spellEnd"/>
      <w:r w:rsidR="00473963" w:rsidRPr="00473963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473963">
        <w:rPr>
          <w:rFonts w:ascii="Times New Roman" w:hAnsi="Times New Roman" w:cs="Times New Roman"/>
          <w:sz w:val="28"/>
          <w:szCs w:val="28"/>
          <w:lang w:val="en-US"/>
        </w:rPr>
        <w:t>com</w:t>
      </w:r>
    </w:p>
    <w:p w14:paraId="4BC7922E" w14:textId="77777777" w:rsidR="000627F0" w:rsidRPr="00E016CA" w:rsidRDefault="000627F0" w:rsidP="000627F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CA49ADF" w14:textId="0275A655" w:rsidR="00E016CA" w:rsidRPr="00E016CA" w:rsidRDefault="00E016CA" w:rsidP="00E016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6CA">
        <w:rPr>
          <w:rFonts w:ascii="Times New Roman" w:hAnsi="Times New Roman" w:cs="Times New Roman"/>
          <w:sz w:val="28"/>
          <w:szCs w:val="28"/>
        </w:rPr>
        <w:t xml:space="preserve"> </w:t>
      </w:r>
      <w:r w:rsidRPr="009D7BDB">
        <w:rPr>
          <w:rFonts w:ascii="Times New Roman" w:hAnsi="Times New Roman" w:cs="Times New Roman"/>
          <w:i/>
          <w:iCs/>
          <w:sz w:val="28"/>
          <w:szCs w:val="28"/>
        </w:rPr>
        <w:t>Анотація:</w:t>
      </w:r>
      <w:r w:rsidRPr="00E016C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E016CA">
        <w:rPr>
          <w:rFonts w:ascii="Times New Roman" w:hAnsi="Times New Roman" w:cs="Times New Roman"/>
          <w:sz w:val="28"/>
          <w:szCs w:val="28"/>
        </w:rPr>
        <w:t xml:space="preserve">В експерименті у 50 білих щурів з різним станом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адренореактивності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оцінювали мікроскопічну будову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субхондральної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кістки колінних суглобів при моделюванні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гіперурикемії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. Виявили достовірні відмінності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морфометричних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показників товщини зон хряща, питомого обсягу </w:t>
      </w:r>
    </w:p>
    <w:p w14:paraId="01D64E28" w14:textId="77777777" w:rsidR="00E016CA" w:rsidRPr="00E016CA" w:rsidRDefault="00E016CA" w:rsidP="00E016C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16CA">
        <w:rPr>
          <w:rFonts w:ascii="Times New Roman" w:hAnsi="Times New Roman" w:cs="Times New Roman"/>
          <w:sz w:val="28"/>
          <w:szCs w:val="28"/>
        </w:rPr>
        <w:t xml:space="preserve">лакун і метаболізму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протеогліканів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в проміжній та глибокій зонах, вираження </w:t>
      </w:r>
    </w:p>
    <w:p w14:paraId="13BAF3C8" w14:textId="767AC7DE" w:rsidR="00E016CA" w:rsidRPr="00E016CA" w:rsidRDefault="00E016CA" w:rsidP="00E016C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16CA">
        <w:rPr>
          <w:rFonts w:ascii="Times New Roman" w:hAnsi="Times New Roman" w:cs="Times New Roman"/>
          <w:sz w:val="28"/>
          <w:szCs w:val="28"/>
        </w:rPr>
        <w:t xml:space="preserve">деструктивних і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пролифератівних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процесів, що залежало від сенситивності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адренорецепторів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клітин. </w:t>
      </w:r>
    </w:p>
    <w:p w14:paraId="1FF98923" w14:textId="5F528A4F" w:rsidR="00E016CA" w:rsidRPr="00E016CA" w:rsidRDefault="00E016CA" w:rsidP="00E016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7BDB">
        <w:rPr>
          <w:rFonts w:ascii="Times New Roman" w:hAnsi="Times New Roman" w:cs="Times New Roman"/>
          <w:i/>
          <w:iCs/>
          <w:sz w:val="28"/>
          <w:szCs w:val="28"/>
        </w:rPr>
        <w:t>Ключові слова:</w:t>
      </w:r>
      <w:r w:rsidRPr="00E016CA">
        <w:rPr>
          <w:rFonts w:ascii="Times New Roman" w:hAnsi="Times New Roman" w:cs="Times New Roman"/>
          <w:sz w:val="28"/>
          <w:szCs w:val="28"/>
        </w:rPr>
        <w:t xml:space="preserve"> індивідуальний морфогенез, суглобовий хрящ, чутливість,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адренорецептори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клітин.</w:t>
      </w:r>
    </w:p>
    <w:p w14:paraId="0B86CCF8" w14:textId="3CF61B81" w:rsidR="00E016CA" w:rsidRPr="00E016CA" w:rsidRDefault="00E016CA" w:rsidP="002347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6CA">
        <w:rPr>
          <w:rFonts w:ascii="Times New Roman" w:hAnsi="Times New Roman" w:cs="Times New Roman"/>
          <w:sz w:val="28"/>
          <w:szCs w:val="28"/>
        </w:rPr>
        <w:lastRenderedPageBreak/>
        <w:t xml:space="preserve">Морфологічні дослідження з проблем діагностики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артропатій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ведуться</w:t>
      </w:r>
      <w:r w:rsidR="00234752">
        <w:rPr>
          <w:rFonts w:ascii="Times New Roman" w:hAnsi="Times New Roman" w:cs="Times New Roman"/>
          <w:sz w:val="28"/>
          <w:szCs w:val="28"/>
        </w:rPr>
        <w:t xml:space="preserve"> </w:t>
      </w:r>
      <w:r w:rsidRPr="00E016CA">
        <w:rPr>
          <w:rFonts w:ascii="Times New Roman" w:hAnsi="Times New Roman" w:cs="Times New Roman"/>
          <w:sz w:val="28"/>
          <w:szCs w:val="28"/>
        </w:rPr>
        <w:t xml:space="preserve">спеціалістами вже давно, що визначається високою частотою захворювань, неухильним їх прогресуванням, та суттєвою втратою працездатності населення. </w:t>
      </w:r>
    </w:p>
    <w:p w14:paraId="45E5D181" w14:textId="35F5120B" w:rsidR="00E016CA" w:rsidRPr="00E016CA" w:rsidRDefault="00E016CA" w:rsidP="002347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6CA">
        <w:rPr>
          <w:rFonts w:ascii="Times New Roman" w:hAnsi="Times New Roman" w:cs="Times New Roman"/>
          <w:sz w:val="28"/>
          <w:szCs w:val="28"/>
        </w:rPr>
        <w:t>Дистрофічні й метаболічні захворювання суглобів кінцівок і хребта є найбільш частими серед пацієнтів працездатного віку обстеженого населення України [</w:t>
      </w:r>
      <w:r w:rsidR="003921A9">
        <w:rPr>
          <w:rFonts w:ascii="Times New Roman" w:hAnsi="Times New Roman" w:cs="Times New Roman"/>
          <w:sz w:val="28"/>
          <w:szCs w:val="28"/>
        </w:rPr>
        <w:t>1</w:t>
      </w:r>
      <w:r w:rsidRPr="00E016CA">
        <w:rPr>
          <w:rFonts w:ascii="Times New Roman" w:hAnsi="Times New Roman" w:cs="Times New Roman"/>
          <w:sz w:val="28"/>
          <w:szCs w:val="28"/>
        </w:rPr>
        <w:t xml:space="preserve">]. </w:t>
      </w:r>
    </w:p>
    <w:p w14:paraId="738F081B" w14:textId="14DE3804" w:rsidR="00E016CA" w:rsidRPr="00E016CA" w:rsidRDefault="00E016CA" w:rsidP="002347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6CA">
        <w:rPr>
          <w:rFonts w:ascii="Times New Roman" w:hAnsi="Times New Roman" w:cs="Times New Roman"/>
          <w:sz w:val="28"/>
          <w:szCs w:val="28"/>
        </w:rPr>
        <w:t xml:space="preserve">Незважаючи на статок морфологічних, гістохімічних і біохімічних досліджень суглобів, що поширили уявлення про механізми і морфологічні прояви деструктивних і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проліферативних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процесів у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хондроцитах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[</w:t>
      </w:r>
      <w:r w:rsidR="00804044">
        <w:rPr>
          <w:rFonts w:ascii="Times New Roman" w:hAnsi="Times New Roman" w:cs="Times New Roman"/>
          <w:sz w:val="28"/>
          <w:szCs w:val="28"/>
        </w:rPr>
        <w:t>2</w:t>
      </w:r>
      <w:r w:rsidRPr="00E016CA">
        <w:rPr>
          <w:rFonts w:ascii="Times New Roman" w:hAnsi="Times New Roman" w:cs="Times New Roman"/>
          <w:sz w:val="28"/>
          <w:szCs w:val="28"/>
        </w:rPr>
        <w:t>,</w:t>
      </w:r>
      <w:r w:rsidR="00804044">
        <w:rPr>
          <w:rFonts w:ascii="Times New Roman" w:hAnsi="Times New Roman" w:cs="Times New Roman"/>
          <w:sz w:val="28"/>
          <w:szCs w:val="28"/>
        </w:rPr>
        <w:t>3</w:t>
      </w:r>
      <w:r w:rsidRPr="00E016CA">
        <w:rPr>
          <w:rFonts w:ascii="Times New Roman" w:hAnsi="Times New Roman" w:cs="Times New Roman"/>
          <w:sz w:val="28"/>
          <w:szCs w:val="28"/>
        </w:rPr>
        <w:t>,</w:t>
      </w:r>
      <w:r w:rsidR="00804044">
        <w:rPr>
          <w:rFonts w:ascii="Times New Roman" w:hAnsi="Times New Roman" w:cs="Times New Roman"/>
          <w:sz w:val="28"/>
          <w:szCs w:val="28"/>
        </w:rPr>
        <w:t>4</w:t>
      </w:r>
      <w:r w:rsidRPr="00E016CA">
        <w:rPr>
          <w:rFonts w:ascii="Times New Roman" w:hAnsi="Times New Roman" w:cs="Times New Roman"/>
          <w:sz w:val="28"/>
          <w:szCs w:val="28"/>
        </w:rPr>
        <w:t xml:space="preserve">] дотепер залишається багато невирішених питань у діагностиці захворювань суглобів, що потребує розробки об'єктивних морфологічних критеріїв для прогнозування перебігу репаративних (відновних) процесів у суглобовому хрящу. Загальні й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етіоспецифічні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закономірності останніх можуть бути визначені на моделях відповідного захворювання при обов’язковому врахуванні індивідуальної реактивності організм</w:t>
      </w:r>
      <w:r w:rsidR="00041DC6">
        <w:rPr>
          <w:rFonts w:ascii="Times New Roman" w:hAnsi="Times New Roman" w:cs="Times New Roman"/>
          <w:sz w:val="28"/>
          <w:szCs w:val="28"/>
        </w:rPr>
        <w:t>у</w:t>
      </w:r>
      <w:r w:rsidRPr="00E016CA">
        <w:rPr>
          <w:rFonts w:ascii="Times New Roman" w:hAnsi="Times New Roman" w:cs="Times New Roman"/>
          <w:sz w:val="28"/>
          <w:szCs w:val="28"/>
        </w:rPr>
        <w:t>, що завжди відбивається на особливостях локальних структурних змін [</w:t>
      </w:r>
      <w:r w:rsidR="00804044">
        <w:rPr>
          <w:rFonts w:ascii="Times New Roman" w:hAnsi="Times New Roman" w:cs="Times New Roman"/>
          <w:sz w:val="28"/>
          <w:szCs w:val="28"/>
        </w:rPr>
        <w:t>4</w:t>
      </w:r>
      <w:r w:rsidRPr="00E016CA">
        <w:rPr>
          <w:rFonts w:ascii="Times New Roman" w:hAnsi="Times New Roman" w:cs="Times New Roman"/>
          <w:sz w:val="28"/>
          <w:szCs w:val="28"/>
        </w:rPr>
        <w:t xml:space="preserve">]. Метою роботи з’явилася оцінка морфологічних особливостей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мікроанатомії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тканин суглобів у тварин з різною індивідуальною реактивністю організму при порушенні пуринового обміну.</w:t>
      </w:r>
    </w:p>
    <w:p w14:paraId="5136E89F" w14:textId="12609F4B" w:rsidR="00E016CA" w:rsidRPr="00E016CA" w:rsidRDefault="00E016CA" w:rsidP="00E016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7BDB">
        <w:rPr>
          <w:rFonts w:ascii="Times New Roman" w:hAnsi="Times New Roman" w:cs="Times New Roman"/>
          <w:i/>
          <w:iCs/>
          <w:sz w:val="28"/>
          <w:szCs w:val="28"/>
        </w:rPr>
        <w:t>Матеріал і методи.</w:t>
      </w:r>
      <w:r w:rsidRPr="00E016CA">
        <w:rPr>
          <w:rFonts w:ascii="Times New Roman" w:hAnsi="Times New Roman" w:cs="Times New Roman"/>
          <w:sz w:val="28"/>
          <w:szCs w:val="28"/>
        </w:rPr>
        <w:t xml:space="preserve"> </w:t>
      </w:r>
      <w:r w:rsidR="003C154F">
        <w:rPr>
          <w:rFonts w:ascii="Times New Roman" w:hAnsi="Times New Roman" w:cs="Times New Roman"/>
          <w:sz w:val="28"/>
          <w:szCs w:val="28"/>
        </w:rPr>
        <w:t xml:space="preserve">   </w:t>
      </w:r>
      <w:r w:rsidRPr="00E016CA">
        <w:rPr>
          <w:rFonts w:ascii="Times New Roman" w:hAnsi="Times New Roman" w:cs="Times New Roman"/>
          <w:sz w:val="28"/>
          <w:szCs w:val="28"/>
        </w:rPr>
        <w:t xml:space="preserve">В наших дослідженнях ми відібрали до хронічного </w:t>
      </w:r>
    </w:p>
    <w:p w14:paraId="4286FC7F" w14:textId="77777777" w:rsidR="00E016CA" w:rsidRPr="00E016CA" w:rsidRDefault="00E016CA" w:rsidP="002347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16CA">
        <w:rPr>
          <w:rFonts w:ascii="Times New Roman" w:hAnsi="Times New Roman" w:cs="Times New Roman"/>
          <w:sz w:val="28"/>
          <w:szCs w:val="28"/>
        </w:rPr>
        <w:t xml:space="preserve">експерименту 50 білих щурів-самців масою 260-280 г з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гіпер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- і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гіпореактивним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64B189" w14:textId="2B235C5A" w:rsidR="00E016CA" w:rsidRPr="00E016CA" w:rsidRDefault="00E016CA" w:rsidP="002347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16CA">
        <w:rPr>
          <w:rFonts w:ascii="Times New Roman" w:hAnsi="Times New Roman" w:cs="Times New Roman"/>
          <w:sz w:val="28"/>
          <w:szCs w:val="28"/>
        </w:rPr>
        <w:t xml:space="preserve">станом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адренореактивності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організма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, що оцінювали за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дозозалежними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змінами значень фагоцитарного індексу моноцитів периферійної крові під час інкубації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vitro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з агоністом β2-адренорецепторів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ізадрином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(10-100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мкМ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>), оскільки</w:t>
      </w:r>
      <w:r w:rsidR="003C154F">
        <w:rPr>
          <w:rFonts w:ascii="Times New Roman" w:hAnsi="Times New Roman" w:cs="Times New Roman"/>
          <w:sz w:val="28"/>
          <w:szCs w:val="28"/>
        </w:rPr>
        <w:t xml:space="preserve"> </w:t>
      </w:r>
      <w:r w:rsidRPr="00E016CA">
        <w:rPr>
          <w:rFonts w:ascii="Times New Roman" w:hAnsi="Times New Roman" w:cs="Times New Roman"/>
          <w:sz w:val="28"/>
          <w:szCs w:val="28"/>
        </w:rPr>
        <w:t>моноцити є ключовими клітинами в контролі неспецифічних захисних реакцій</w:t>
      </w:r>
      <w:r w:rsidR="00234752">
        <w:rPr>
          <w:rFonts w:ascii="Times New Roman" w:hAnsi="Times New Roman" w:cs="Times New Roman"/>
          <w:sz w:val="28"/>
          <w:szCs w:val="28"/>
        </w:rPr>
        <w:t xml:space="preserve"> </w:t>
      </w:r>
      <w:r w:rsidRPr="00E016CA">
        <w:rPr>
          <w:rFonts w:ascii="Times New Roman" w:hAnsi="Times New Roman" w:cs="Times New Roman"/>
          <w:sz w:val="28"/>
          <w:szCs w:val="28"/>
        </w:rPr>
        <w:t>організм</w:t>
      </w:r>
      <w:r w:rsidR="003C154F">
        <w:rPr>
          <w:rFonts w:ascii="Times New Roman" w:hAnsi="Times New Roman" w:cs="Times New Roman"/>
          <w:sz w:val="28"/>
          <w:szCs w:val="28"/>
        </w:rPr>
        <w:t>у</w:t>
      </w:r>
      <w:r w:rsidRPr="00E016CA">
        <w:rPr>
          <w:rFonts w:ascii="Times New Roman" w:hAnsi="Times New Roman" w:cs="Times New Roman"/>
          <w:sz w:val="28"/>
          <w:szCs w:val="28"/>
        </w:rPr>
        <w:t xml:space="preserve"> і зокрема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артикулярних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тканин.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Гіперурикемію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відтворювали шляхом додавання у раціон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аутолізат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дріжджів (джерело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пуринів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) із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молибдатом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амонію (стимулятором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ксантиноксидази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) та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інозином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(попередником сечової кислоти) [</w:t>
      </w:r>
      <w:r w:rsidR="00871E0C">
        <w:rPr>
          <w:rFonts w:ascii="Times New Roman" w:hAnsi="Times New Roman" w:cs="Times New Roman"/>
          <w:sz w:val="28"/>
          <w:szCs w:val="28"/>
        </w:rPr>
        <w:t>1</w:t>
      </w:r>
      <w:r w:rsidRPr="00E016CA">
        <w:rPr>
          <w:rFonts w:ascii="Times New Roman" w:hAnsi="Times New Roman" w:cs="Times New Roman"/>
          <w:sz w:val="28"/>
          <w:szCs w:val="28"/>
        </w:rPr>
        <w:t>]. На такій дієті щурів тримали протягом 4-х тижнів. Одноразово</w:t>
      </w:r>
      <w:r w:rsidR="00234752">
        <w:rPr>
          <w:rFonts w:ascii="Times New Roman" w:hAnsi="Times New Roman" w:cs="Times New Roman"/>
          <w:sz w:val="28"/>
          <w:szCs w:val="28"/>
        </w:rPr>
        <w:t xml:space="preserve"> </w:t>
      </w:r>
      <w:r w:rsidRPr="00E016CA">
        <w:rPr>
          <w:rFonts w:ascii="Times New Roman" w:hAnsi="Times New Roman" w:cs="Times New Roman"/>
          <w:sz w:val="28"/>
          <w:szCs w:val="28"/>
        </w:rPr>
        <w:t xml:space="preserve">щурам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інтраартикулярно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в колінні суглоби вводили суспензію кристалів сечової кислоти в стерильному ізотонічному розчині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NaCl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, що призводило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дорозвитку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</w:t>
      </w:r>
      <w:r w:rsidRPr="00E016CA">
        <w:rPr>
          <w:rFonts w:ascii="Times New Roman" w:hAnsi="Times New Roman" w:cs="Times New Roman"/>
          <w:sz w:val="28"/>
          <w:szCs w:val="28"/>
        </w:rPr>
        <w:lastRenderedPageBreak/>
        <w:t xml:space="preserve">артриту у всіх відібраних тварин. На 30 добу щурів виводили з експерименту шляхом поглиблення ефірного наркозу. Інтактні тварини з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гіпері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гіпореактивним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станом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адренореактивності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в цій серії досліджень склали 1-у і 2-у контрольну групу.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Морфометричними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методами вивчали лінійні та питомі показники стану колінних суглобів. Матеріал фіксували в 10% розчині формаліну, потім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декальцинували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за методом [1]. На парафінових зрізах 295 суглобів, пофарбованих гематоксиліном і еозином, за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Браше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, ШЙК-методом, здійснювали органо-,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гісто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-,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цито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- і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каріометрію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, на підставі чого визначали розрахункові показники: товщину зон хряща, питомі обсяги клітин і міжклітинної речовини, ядерно-цитоплазматичне відношення. Цифрові дані оброблені статистично з використанням критерію Стьюдента і пакета статистичних комп’ютерних програм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Medstat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>.</w:t>
      </w:r>
    </w:p>
    <w:p w14:paraId="1D486123" w14:textId="41531EE5" w:rsidR="00E016CA" w:rsidRPr="00E016CA" w:rsidRDefault="00E016CA" w:rsidP="003C15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6CA">
        <w:rPr>
          <w:rFonts w:ascii="Times New Roman" w:hAnsi="Times New Roman" w:cs="Times New Roman"/>
          <w:sz w:val="28"/>
          <w:szCs w:val="28"/>
        </w:rPr>
        <w:t xml:space="preserve">Як показав морфологічний аналіз формування подагричного артриту вірогідно різнилося у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гіпер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- (1-а експериментальна група) і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гіпореактивних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тварин (2-а експериментальна група). Так, у щурів 1-ї групи спостерігалася зміна товщини зон суглобового хряща. Якщо в 1-й групі за товщиною зони хрящу розподілились: поверхнева зона &lt; глибока зона &lt; середня зона хряща, то під час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гіперурикемії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значне стовщення глибокої зони (мінералізованого хрящу) визначило зміну відношення, а товщина середньої і глибокої зон стали приблизно </w:t>
      </w:r>
      <w:r w:rsidR="003C1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одинаково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</w:t>
      </w:r>
      <w:r w:rsidR="003C154F">
        <w:rPr>
          <w:rFonts w:ascii="Times New Roman" w:hAnsi="Times New Roman" w:cs="Times New Roman"/>
          <w:sz w:val="28"/>
          <w:szCs w:val="28"/>
        </w:rPr>
        <w:t xml:space="preserve"> </w:t>
      </w:r>
      <w:r w:rsidRPr="00E016CA">
        <w:rPr>
          <w:rFonts w:ascii="Times New Roman" w:hAnsi="Times New Roman" w:cs="Times New Roman"/>
          <w:sz w:val="28"/>
          <w:szCs w:val="28"/>
        </w:rPr>
        <w:t>великою.</w:t>
      </w:r>
      <w:r w:rsidR="003C154F">
        <w:rPr>
          <w:rFonts w:ascii="Times New Roman" w:hAnsi="Times New Roman" w:cs="Times New Roman"/>
          <w:sz w:val="28"/>
          <w:szCs w:val="28"/>
        </w:rPr>
        <w:t xml:space="preserve">  </w:t>
      </w:r>
      <w:r w:rsidRPr="00E016CA">
        <w:rPr>
          <w:rFonts w:ascii="Times New Roman" w:hAnsi="Times New Roman" w:cs="Times New Roman"/>
          <w:sz w:val="28"/>
          <w:szCs w:val="28"/>
        </w:rPr>
        <w:t xml:space="preserve"> Це супроводжувалося локальним зникненням </w:t>
      </w:r>
    </w:p>
    <w:p w14:paraId="5D47E764" w14:textId="6BFC2E07" w:rsidR="00E016CA" w:rsidRPr="00E016CA" w:rsidRDefault="00E016CA" w:rsidP="002347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базофильної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лінії хрящу, появою малюнку фібрил у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міжтериторіальному</w:t>
      </w:r>
      <w:proofErr w:type="spellEnd"/>
      <w:r w:rsidR="00234752">
        <w:rPr>
          <w:rFonts w:ascii="Times New Roman" w:hAnsi="Times New Roman" w:cs="Times New Roman"/>
          <w:sz w:val="28"/>
          <w:szCs w:val="28"/>
        </w:rPr>
        <w:t xml:space="preserve"> </w:t>
      </w:r>
      <w:r w:rsidRPr="00E016CA">
        <w:rPr>
          <w:rFonts w:ascii="Times New Roman" w:hAnsi="Times New Roman" w:cs="Times New Roman"/>
          <w:sz w:val="28"/>
          <w:szCs w:val="28"/>
        </w:rPr>
        <w:t xml:space="preserve">матриксі. Водночас у всіх зонах були виявлені численні порожні лакуни, а також висока питома вага (до 91%, р&lt;0,001)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хондроцитів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із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пікнотичними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ядрами і високим вмістом глікогену в цитоплазмі.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Хондроцити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відрізнялися від контрольних безладним розташуванням, мали місце великі безструктурні ділянки. З боку останніх розташовувалися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стопчики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з 10-12 хрящових клітин з ознаками посилення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біосинтетичної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активності. Водночас збільшилася питома вага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хондроцитів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із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пікнотичними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ядрами, що свідчить про їх загибель. </w:t>
      </w:r>
    </w:p>
    <w:p w14:paraId="1DB75FF1" w14:textId="189A8B42" w:rsidR="00E016CA" w:rsidRPr="00E016CA" w:rsidRDefault="00E016CA" w:rsidP="002347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6CA">
        <w:rPr>
          <w:rFonts w:ascii="Times New Roman" w:hAnsi="Times New Roman" w:cs="Times New Roman"/>
          <w:sz w:val="28"/>
          <w:szCs w:val="28"/>
        </w:rPr>
        <w:t xml:space="preserve">Причому такі клітини спостерігали як у мінералізованій (що характерно і для контрольних щурів), так і в середній зонах хряща. Відзначалася інверсія </w:t>
      </w:r>
      <w:r w:rsidRPr="00E016CA">
        <w:rPr>
          <w:rFonts w:ascii="Times New Roman" w:hAnsi="Times New Roman" w:cs="Times New Roman"/>
          <w:sz w:val="28"/>
          <w:szCs w:val="28"/>
        </w:rPr>
        <w:lastRenderedPageBreak/>
        <w:t xml:space="preserve">вмісту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глікозаміногліканів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у різних зонах хряща: якщо в контролі вони переважали в мінералізованій зоні, то у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гіперреактивних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тварин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хондроцити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середньої зони продукували надлишкову кількість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глікозаміногліканів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, що призвело до інтенсивного фарбування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міжтериторіального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матрикса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. В 1,7 разів зросла чисельність порожніх лакун у 2-й і 3-й зонах суглобового хряща. </w:t>
      </w:r>
    </w:p>
    <w:p w14:paraId="11E79A1F" w14:textId="6482F78E" w:rsidR="00E016CA" w:rsidRPr="00E016CA" w:rsidRDefault="00E016CA" w:rsidP="002347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6CA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гіпореактивн</w:t>
      </w:r>
      <w:r w:rsidR="00417081">
        <w:rPr>
          <w:rFonts w:ascii="Times New Roman" w:hAnsi="Times New Roman" w:cs="Times New Roman"/>
          <w:sz w:val="28"/>
          <w:szCs w:val="28"/>
        </w:rPr>
        <w:t>и</w:t>
      </w:r>
      <w:r w:rsidRPr="00E016CA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тварин мали місце менш виражені деструктивні процеси в хрящі, тоді як адаптивні реакції добре простежувалися. Суглобовий хрящ відрізнявся значною товщиною, що відбувалося за рахунок стовщення всіх зон, відповідно на 45%, 120% і 86% у порівнянні з контролем. У середній і глибокій зонах хрящу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хондроцити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з великими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слабобазофільними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ядрами формували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ізогенні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групи у вигляді стовпчиків. Вміст ШЙК-позитивного матеріалу був рівномірно високим у глибокій зоні, де накопичувалися і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сульфатовані</w:t>
      </w:r>
      <w:proofErr w:type="spellEnd"/>
      <w:r w:rsidR="002347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глікозаміноглікани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. Питома вага спустошених лакун складала лише 16% від контролю. Зменшилася на 24% (p&lt;0,05) питома вага гіпертрофованих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хондроцитів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із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пікнотичними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ядрами в глибокій зоні. На межі між середньою і глибокою зоною просліджувалася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базофільна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смужка з місцями значного локального стовщення.</w:t>
      </w:r>
    </w:p>
    <w:p w14:paraId="36F3A34B" w14:textId="5ADF6D67" w:rsidR="00E016CA" w:rsidRPr="00E016CA" w:rsidRDefault="00E016CA" w:rsidP="002347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6CA">
        <w:rPr>
          <w:rFonts w:ascii="Times New Roman" w:hAnsi="Times New Roman" w:cs="Times New Roman"/>
          <w:sz w:val="28"/>
          <w:szCs w:val="28"/>
        </w:rPr>
        <w:t>Таким чином, виявлені достовірні відміни між відновними процесами в</w:t>
      </w:r>
      <w:r w:rsidR="00234752">
        <w:rPr>
          <w:rFonts w:ascii="Times New Roman" w:hAnsi="Times New Roman" w:cs="Times New Roman"/>
          <w:sz w:val="28"/>
          <w:szCs w:val="28"/>
        </w:rPr>
        <w:t xml:space="preserve"> </w:t>
      </w:r>
      <w:r w:rsidRPr="00E016CA">
        <w:rPr>
          <w:rFonts w:ascii="Times New Roman" w:hAnsi="Times New Roman" w:cs="Times New Roman"/>
          <w:sz w:val="28"/>
          <w:szCs w:val="28"/>
        </w:rPr>
        <w:t>суглобовому хрящі у тварин різних груп, що є відображенням різниці</w:t>
      </w:r>
      <w:r w:rsidR="009D7BDB">
        <w:rPr>
          <w:rFonts w:ascii="Times New Roman" w:hAnsi="Times New Roman" w:cs="Times New Roman"/>
          <w:sz w:val="28"/>
          <w:szCs w:val="28"/>
        </w:rPr>
        <w:t xml:space="preserve"> </w:t>
      </w:r>
      <w:r w:rsidRPr="00E016CA">
        <w:rPr>
          <w:rFonts w:ascii="Times New Roman" w:hAnsi="Times New Roman" w:cs="Times New Roman"/>
          <w:sz w:val="28"/>
          <w:szCs w:val="28"/>
        </w:rPr>
        <w:t>індивідуальної реактивності організму, свідчить про модуляцію ступеня</w:t>
      </w:r>
      <w:r w:rsidR="00234752">
        <w:rPr>
          <w:rFonts w:ascii="Times New Roman" w:hAnsi="Times New Roman" w:cs="Times New Roman"/>
          <w:sz w:val="28"/>
          <w:szCs w:val="28"/>
        </w:rPr>
        <w:t xml:space="preserve"> </w:t>
      </w:r>
      <w:r w:rsidRPr="00E016CA">
        <w:rPr>
          <w:rFonts w:ascii="Times New Roman" w:hAnsi="Times New Roman" w:cs="Times New Roman"/>
          <w:sz w:val="28"/>
          <w:szCs w:val="28"/>
        </w:rPr>
        <w:t xml:space="preserve">виразності й перебігу реактивних змін у локомоторному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апараті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 xml:space="preserve"> при формуванні патології суглобів та може стати основою для створення морфологічних критеріїв для діагностичного прогнозу </w:t>
      </w:r>
      <w:proofErr w:type="spellStart"/>
      <w:r w:rsidRPr="00E016CA">
        <w:rPr>
          <w:rFonts w:ascii="Times New Roman" w:hAnsi="Times New Roman" w:cs="Times New Roman"/>
          <w:sz w:val="28"/>
          <w:szCs w:val="28"/>
        </w:rPr>
        <w:t>артропатій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>.</w:t>
      </w:r>
    </w:p>
    <w:p w14:paraId="4701D0AF" w14:textId="77777777" w:rsidR="009D7BDB" w:rsidRDefault="009D7BDB" w:rsidP="00E016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CC4F36" w14:textId="02B6BF76" w:rsidR="00E016CA" w:rsidRPr="00E016CA" w:rsidRDefault="00E016CA" w:rsidP="00E016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6CA">
        <w:rPr>
          <w:rFonts w:ascii="Times New Roman" w:hAnsi="Times New Roman" w:cs="Times New Roman"/>
          <w:sz w:val="28"/>
          <w:szCs w:val="28"/>
        </w:rPr>
        <w:t>СПИСОК ЛИТЕРАТУР</w:t>
      </w:r>
      <w:r w:rsidR="009D7BDB">
        <w:rPr>
          <w:rFonts w:ascii="Times New Roman" w:hAnsi="Times New Roman" w:cs="Times New Roman"/>
          <w:sz w:val="28"/>
          <w:szCs w:val="28"/>
        </w:rPr>
        <w:t>И:</w:t>
      </w:r>
    </w:p>
    <w:p w14:paraId="51DDCAB6" w14:textId="08FC99C3" w:rsidR="00E016CA" w:rsidRPr="00E016CA" w:rsidRDefault="00936E70" w:rsidP="002347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016CA" w:rsidRPr="00E016C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Синяченко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О. В., Ігнатенко Г.А., Мухін І.В. Клініко-лабораторні аспекти пуринового обміну: норма та патологія // Медицина залізничного транспорту України.– 2004.– № 1.– С. 96-100.</w:t>
      </w:r>
    </w:p>
    <w:p w14:paraId="1A90808D" w14:textId="66DB189E" w:rsidR="00E016CA" w:rsidRPr="00E016CA" w:rsidRDefault="00936E70" w:rsidP="002347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E016CA" w:rsidRPr="00E016C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Chen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Q.,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Gao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Y.,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Kao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X.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et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al.SNP-induced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apoptosis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may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be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mediated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with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caspase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inhibitor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by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JNK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signaling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pathways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rabbit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articular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chondrocytes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// J</w:t>
      </w:r>
      <w:r w:rsidR="0023475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Toxicol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Sci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.– 2012.–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Vol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>. 37, №1.– Р. 157-167.</w:t>
      </w:r>
    </w:p>
    <w:p w14:paraId="01C7566E" w14:textId="52E2C220" w:rsidR="00E016CA" w:rsidRPr="00E016CA" w:rsidRDefault="00936E70" w:rsidP="002347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016CA" w:rsidRPr="00E016C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Korb-Pap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A.,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Stratis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A.,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Mühlenberg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K.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et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al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Early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structural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changes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cartilage</w:t>
      </w:r>
      <w:proofErr w:type="spellEnd"/>
      <w:r w:rsidR="002347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bone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are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required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attachment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invasion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inflamed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synovial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tissue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during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destructive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inflammatory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arthritis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//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Ann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Rheum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Dis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>.– 2012.– Vol.18.– Р. 207-211.</w:t>
      </w:r>
    </w:p>
    <w:p w14:paraId="045EAB9B" w14:textId="4D74856F" w:rsidR="00E016CA" w:rsidRPr="00E016CA" w:rsidRDefault="00936E70" w:rsidP="002347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016CA" w:rsidRPr="00E016C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Las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Heras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F.,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Pritzker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K.P.,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So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A.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et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al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Aberrant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Chondrocyte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Hypertrophy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Activation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β-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Catenin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Signaling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Precede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Joint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Ankylosis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ank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ank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CA" w:rsidRPr="00E016CA">
        <w:rPr>
          <w:rFonts w:ascii="Times New Roman" w:hAnsi="Times New Roman" w:cs="Times New Roman"/>
          <w:sz w:val="28"/>
          <w:szCs w:val="28"/>
        </w:rPr>
        <w:t>Mice</w:t>
      </w:r>
      <w:proofErr w:type="spellEnd"/>
      <w:r w:rsidR="00E016CA" w:rsidRPr="00E016CA">
        <w:rPr>
          <w:rFonts w:ascii="Times New Roman" w:hAnsi="Times New Roman" w:cs="Times New Roman"/>
          <w:sz w:val="28"/>
          <w:szCs w:val="28"/>
        </w:rPr>
        <w:t xml:space="preserve"> // J</w:t>
      </w:r>
      <w:r w:rsidR="00234752">
        <w:rPr>
          <w:rFonts w:ascii="Times New Roman" w:hAnsi="Times New Roman" w:cs="Times New Roman"/>
          <w:sz w:val="28"/>
          <w:szCs w:val="28"/>
        </w:rPr>
        <w:t>.</w:t>
      </w:r>
      <w:r w:rsidR="00E016CA" w:rsidRPr="00E016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7C54CB" w14:textId="6A085ECA" w:rsidR="00051F05" w:rsidRPr="00E016CA" w:rsidRDefault="00E016CA" w:rsidP="002347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16CA">
        <w:rPr>
          <w:rFonts w:ascii="Times New Roman" w:hAnsi="Times New Roman" w:cs="Times New Roman"/>
          <w:sz w:val="28"/>
          <w:szCs w:val="28"/>
        </w:rPr>
        <w:t>Rheumatol</w:t>
      </w:r>
      <w:proofErr w:type="spellEnd"/>
      <w:r w:rsidRPr="00E016CA">
        <w:rPr>
          <w:rFonts w:ascii="Times New Roman" w:hAnsi="Times New Roman" w:cs="Times New Roman"/>
          <w:sz w:val="28"/>
          <w:szCs w:val="28"/>
        </w:rPr>
        <w:t>.– 2012.– № 1.– Р.127-129</w:t>
      </w:r>
    </w:p>
    <w:sectPr w:rsidR="00051F05" w:rsidRPr="00E016CA" w:rsidSect="0064186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310"/>
    <w:rsid w:val="00041DC6"/>
    <w:rsid w:val="00051F05"/>
    <w:rsid w:val="000627F0"/>
    <w:rsid w:val="00234752"/>
    <w:rsid w:val="003921A9"/>
    <w:rsid w:val="003C154F"/>
    <w:rsid w:val="00417081"/>
    <w:rsid w:val="00473963"/>
    <w:rsid w:val="00641866"/>
    <w:rsid w:val="00777546"/>
    <w:rsid w:val="00804044"/>
    <w:rsid w:val="008429E7"/>
    <w:rsid w:val="00871E0C"/>
    <w:rsid w:val="00936E70"/>
    <w:rsid w:val="009D7BDB"/>
    <w:rsid w:val="00B45172"/>
    <w:rsid w:val="00CD3310"/>
    <w:rsid w:val="00E016CA"/>
    <w:rsid w:val="00E65CB5"/>
    <w:rsid w:val="00F23BA3"/>
    <w:rsid w:val="00FE5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B2340"/>
  <w15:chartTrackingRefBased/>
  <w15:docId w15:val="{5AA7FAAF-E956-4225-B0F7-E53AC571C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963C42-7BA3-4FA8-B94D-836296963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5</Pages>
  <Words>5666</Words>
  <Characters>3231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UserKMU</dc:creator>
  <cp:keywords/>
  <dc:description/>
  <cp:lastModifiedBy>UserKMU</cp:lastModifiedBy>
  <cp:revision>20</cp:revision>
  <dcterms:created xsi:type="dcterms:W3CDTF">2023-08-09T10:38:00Z</dcterms:created>
  <dcterms:modified xsi:type="dcterms:W3CDTF">2023-10-26T07:53:00Z</dcterms:modified>
</cp:coreProperties>
</file>