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6BB" w:rsidRPr="008836BB" w:rsidRDefault="008836BB" w:rsidP="008836BB">
      <w:pPr>
        <w:spacing w:after="207" w:line="271" w:lineRule="auto"/>
        <w:ind w:left="31" w:right="21" w:hanging="10"/>
        <w:jc w:val="center"/>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b/>
          <w:color w:val="000000"/>
          <w:kern w:val="2"/>
          <w:sz w:val="28"/>
          <w:lang w:val="ru-RU" w:eastAsia="ru-RU"/>
          <w14:ligatures w14:val="standardContextual"/>
        </w:rPr>
        <w:t xml:space="preserve">МЕНЕДЖМЕНТ ПОСТТРАВМАТИЧНОГО НЕЙРОПАТИЧНОГО </w:t>
      </w:r>
    </w:p>
    <w:p w:rsidR="008836BB" w:rsidRPr="008836BB" w:rsidRDefault="008836BB" w:rsidP="008836BB">
      <w:pPr>
        <w:keepNext/>
        <w:keepLines/>
        <w:spacing w:after="207" w:line="271" w:lineRule="auto"/>
        <w:ind w:left="31" w:right="21" w:hanging="10"/>
        <w:jc w:val="center"/>
        <w:outlineLvl w:val="0"/>
        <w:rPr>
          <w:rFonts w:ascii="Times New Roman" w:eastAsia="Times New Roman" w:hAnsi="Times New Roman" w:cs="Times New Roman"/>
          <w:b/>
          <w:color w:val="000000"/>
          <w:kern w:val="2"/>
          <w:sz w:val="28"/>
          <w:lang w:val="ru-RU" w:eastAsia="ru-RU"/>
          <w14:ligatures w14:val="standardContextual"/>
        </w:rPr>
      </w:pPr>
      <w:r w:rsidRPr="008836BB">
        <w:rPr>
          <w:rFonts w:ascii="Times New Roman" w:eastAsia="Times New Roman" w:hAnsi="Times New Roman" w:cs="Times New Roman"/>
          <w:b/>
          <w:color w:val="000000"/>
          <w:kern w:val="2"/>
          <w:sz w:val="28"/>
          <w:lang w:val="ru-RU" w:eastAsia="ru-RU"/>
          <w14:ligatures w14:val="standardContextual"/>
        </w:rPr>
        <w:t xml:space="preserve">БОЛЬОВОГО СИНДРОМУ </w:t>
      </w:r>
    </w:p>
    <w:p w:rsidR="008836BB" w:rsidRPr="008836BB" w:rsidRDefault="008836BB" w:rsidP="008836BB">
      <w:pPr>
        <w:spacing w:after="258"/>
        <w:ind w:left="10" w:right="45" w:hanging="10"/>
        <w:jc w:val="right"/>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b/>
          <w:color w:val="222222"/>
          <w:kern w:val="2"/>
          <w:sz w:val="24"/>
          <w:lang w:val="ru-RU" w:eastAsia="ru-RU"/>
          <w14:ligatures w14:val="standardContextual"/>
        </w:rPr>
        <w:t xml:space="preserve">Паламарчук А.Л., Шестеріна Д.В. </w:t>
      </w:r>
    </w:p>
    <w:p w:rsidR="008836BB" w:rsidRPr="008836BB" w:rsidRDefault="008836BB" w:rsidP="008836BB">
      <w:pPr>
        <w:spacing w:after="216"/>
        <w:ind w:left="654" w:hanging="10"/>
        <w:jc w:val="center"/>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i/>
          <w:color w:val="222222"/>
          <w:kern w:val="2"/>
          <w:sz w:val="24"/>
          <w:lang w:val="ru-RU" w:eastAsia="ru-RU"/>
          <w14:ligatures w14:val="standardContextual"/>
        </w:rPr>
        <w:t xml:space="preserve">ПВНЗ «Київський медичний університет»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За даними Командування Медичних сил Збройних сил України, внаслідок воєнний дій на території України (дані за 2021 рік), де серед вогнепальних поранень кінцівок становлять, 74,8 % — поранення м’яких тканин, 25,2 % — вогнепальні переломи. Поранення верхніх кінцівок становлять 35,7 %, нижніх — 64,3 %. Кісткові дефекти відмічаються в 11,6 % пацієнтів. Поранені, яким у подальшому необхідно виконувати реконструктивні оперативні втручання, становлять 35–40 % серед усієї когорти. У цивільному житті травматичні пошкодження посідають перше місце у віковій групі хворих від 15 до 44 років і належать до першої п’ятірки основних причин смертності в Україні [1]. </w:t>
      </w:r>
    </w:p>
    <w:p w:rsidR="008836BB" w:rsidRPr="008836BB" w:rsidRDefault="008836BB" w:rsidP="008836BB">
      <w:pPr>
        <w:spacing w:after="13" w:line="267" w:lineRule="auto"/>
        <w:ind w:left="9"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Клінічним симптомом який присутній у всій популяції осіб які перенесли посттравматичні пошкодження є біль.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Міжнародна асоціація з вивчення  болю (The International Association for the Study of Pain — IASP),</w:t>
      </w:r>
      <w:r w:rsidRPr="008836BB">
        <w:rPr>
          <w:rFonts w:ascii="Times New Roman" w:eastAsia="Times New Roman" w:hAnsi="Times New Roman" w:cs="Times New Roman"/>
          <w:b/>
          <w:color w:val="000000"/>
          <w:kern w:val="2"/>
          <w:sz w:val="24"/>
          <w:lang w:val="ru-RU" w:eastAsia="ru-RU"/>
          <w14:ligatures w14:val="standardContextual"/>
        </w:rPr>
        <w:t xml:space="preserve"> </w:t>
      </w:r>
      <w:r w:rsidRPr="008836BB">
        <w:rPr>
          <w:rFonts w:ascii="Times New Roman" w:eastAsia="Times New Roman" w:hAnsi="Times New Roman" w:cs="Times New Roman"/>
          <w:color w:val="000000"/>
          <w:kern w:val="2"/>
          <w:sz w:val="24"/>
          <w:lang w:val="ru-RU" w:eastAsia="ru-RU"/>
          <w14:ligatures w14:val="standardContextual"/>
        </w:rPr>
        <w:t xml:space="preserve">визначає біль як «неприємний сенсорний та емоційний досвід, пов’язаний з фактичним або потенційним пошкодженням тканин» [2]. Дане тлумачення стало прийнятим фахівцями охорони здоров’я, дослідниками в області болю та професійними урядовими та неурядовими організаціями, включаючи Всесвітню організацію охорони здоров’я.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Існує декілька класифікацій, які описують різновиди болю. У першу чергу це транзиторний, гострий і хронічний. Транзиторний біль виникає внаслідок активації ноцицептивних рецепторів шкіри, тканин за відсутності великого ураження та існує для захисту людини від загрози фізичного ушкодження чинниками зовнішнього середовища. Гострий біль часто виникає після травми чи хірургічного втручання та є сигналом для мозку щодо наявності шкідливих подразників або триваючого пошкодження тканин. Цей больовий сигнал є адаптивно - корисним, попереджаючи людину про небезпеку і виникає безпосередньо внаслідок шкідливої події та є симптомом основного пошкодження тканини або захворювання [3]. Гострі травми, в тому числі хірургічні, зазвичай проявляються як ноцицептивний біль. Хронічний біль визнається як біль, який зберігається після закінчення нормального часу загоєння і, отже, не має функції гострого попередження фізіологічної ноцицепції. </w:t>
      </w:r>
    </w:p>
    <w:p w:rsidR="008836BB" w:rsidRPr="008836BB" w:rsidRDefault="008836BB" w:rsidP="008836BB">
      <w:pPr>
        <w:spacing w:after="13" w:line="267" w:lineRule="auto"/>
        <w:ind w:left="9"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Зазвичай біль вважається хронічним, якщо він триває або повторюється більше 3-6 місяців.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За походженням біль можна класифікувати як ноцицептивний, нейропатичний або ноципластичний. Ноцицептивний біль, також відомий як фізіологічний біль, є результатом активації первинних ноцицептивних аферентних нейронів, фактичними або потенційними стимулами, що пошкоджують тканини. При ноцицептивному болю цілісність нерва залишається збереженою, оскільки сенсорні рецептори стимулюються у вісцеральних і соматичних структурах. На відміну від ноцицептивного болю, нейропатичний біль є наслідком прямого пошкодження нервових волокон, включаючи периферичні волокна (волокна Aβ, Aδ і C) або захворювання які пошкоджують соматосенсорну систему.Ноципластичний біль, завжди хронічний з притаманним йому атиповим поліморфізмом клінічних проявів, які не відповідають результатам об’єктивного дослідження. Характерною ознакою ноципластичного болю є його поєднання з іншими видами больового симптомокомплексу. Нейропатичний біль часто спостерігається при комплексних регіональних больових синдромах  в результаті нейрогенного запалення та в результаті патологічного перехресного зв’язку між сенсорними і симпатичними нервами. З цих причин </w:t>
      </w:r>
      <w:r w:rsidRPr="008836BB">
        <w:rPr>
          <w:rFonts w:ascii="Times New Roman" w:eastAsia="Times New Roman" w:hAnsi="Times New Roman" w:cs="Times New Roman"/>
          <w:color w:val="000000"/>
          <w:kern w:val="2"/>
          <w:sz w:val="24"/>
          <w:lang w:val="ru-RU" w:eastAsia="ru-RU"/>
          <w14:ligatures w14:val="standardContextual"/>
        </w:rPr>
        <w:lastRenderedPageBreak/>
        <w:t xml:space="preserve">нейропатичний біль часто називають «хворобою болю». Нейропатичний біль відзначається змінами в нормальній сенсорній сигналізації на рівні периферії, спинного та головного мозку (таламуса та кори). Посттравматичний нейропатичний біль розвивається після травми чи хірургічної операції та пов'язаний із формуванням травматичної невроми.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Пацієнти з посттравматичним нейропатичним болем страждають від раптових больових відчуттів при відсутності подразнення, чи від виникнення розладів чутливості. Численні способи лікування були запропоновані експертами у галузі, однак, дотепер немає одного загальновизнаного стандартного способу терапії. На відміну від ситуації 30-40 річної давнини, сьогодні ми переповнені теоріями невропатичного болю, які обґрунтовані, логічні, доказові та постійно підтримуються. Серед найбільш пошитерених сучасних теорій патофізіологічного механізму нейропатичного болю наступні: </w:t>
      </w:r>
    </w:p>
    <w:p w:rsidR="008836BB" w:rsidRPr="008836BB" w:rsidRDefault="008836BB" w:rsidP="008836BB">
      <w:pPr>
        <w:numPr>
          <w:ilvl w:val="0"/>
          <w:numId w:val="1"/>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Накопичення нерегульованих мікроРНК в сироватці крові або вздовж шляхів обробки болю після пошкодження периферичного нерва.  </w:t>
      </w:r>
    </w:p>
    <w:p w:rsidR="008836BB" w:rsidRPr="008836BB" w:rsidRDefault="008836BB" w:rsidP="008836BB">
      <w:pPr>
        <w:numPr>
          <w:ilvl w:val="0"/>
          <w:numId w:val="1"/>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Ектопічна адреночутливість, пов’язана з симпатичною нервовою системою, зумовлює підвищення регуляції нервових рецепторів. </w:t>
      </w:r>
    </w:p>
    <w:p w:rsidR="008836BB" w:rsidRPr="008836BB" w:rsidRDefault="008836BB" w:rsidP="008836BB">
      <w:pPr>
        <w:numPr>
          <w:ilvl w:val="0"/>
          <w:numId w:val="1"/>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Норадреналін сприяє розвитку та підтримці нейропатичного болю, спричиненого травмою периферичного нерва. </w:t>
      </w:r>
    </w:p>
    <w:p w:rsidR="008836BB" w:rsidRPr="008836BB" w:rsidRDefault="008836BB" w:rsidP="008836BB">
      <w:pPr>
        <w:numPr>
          <w:ilvl w:val="0"/>
          <w:numId w:val="1"/>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Порушення балансу між ендогенними опіоїдними системами. </w:t>
      </w:r>
    </w:p>
    <w:p w:rsidR="008836BB" w:rsidRPr="008836BB" w:rsidRDefault="008836BB" w:rsidP="008836BB">
      <w:pPr>
        <w:numPr>
          <w:ilvl w:val="0"/>
          <w:numId w:val="1"/>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Зменшення об’ємного гальмування в спинному мозку (первинна аферентна деполяризація). </w:t>
      </w:r>
    </w:p>
    <w:p w:rsidR="008836BB" w:rsidRPr="008836BB" w:rsidRDefault="008836BB" w:rsidP="008836BB">
      <w:pPr>
        <w:numPr>
          <w:ilvl w:val="0"/>
          <w:numId w:val="1"/>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Підвищена експресія нейропептиду холіцистокініну (CCK) при невропатії може вивести з ладу ендогенну інгібіторну схему опіоїдів. </w:t>
      </w:r>
    </w:p>
    <w:p w:rsidR="008836BB" w:rsidRPr="008836BB" w:rsidRDefault="008836BB" w:rsidP="008836BB">
      <w:pPr>
        <w:numPr>
          <w:ilvl w:val="0"/>
          <w:numId w:val="1"/>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Проростання аферентних закінчень Ab в більш поверхневі шари дорсального рогу спинного мозку після аксотомії лежить в основі невропатичної тактильної аллодінії  8)</w:t>
      </w:r>
      <w:r w:rsidRPr="008836BB">
        <w:rPr>
          <w:rFonts w:ascii="Arial" w:eastAsia="Arial" w:hAnsi="Arial" w:cs="Arial"/>
          <w:color w:val="000000"/>
          <w:kern w:val="2"/>
          <w:sz w:val="24"/>
          <w:lang w:val="ru-RU" w:eastAsia="ru-RU"/>
          <w14:ligatures w14:val="standardContextual"/>
        </w:rPr>
        <w:t xml:space="preserve"> </w:t>
      </w:r>
      <w:r w:rsidRPr="008836BB">
        <w:rPr>
          <w:rFonts w:ascii="Times New Roman" w:eastAsia="Times New Roman" w:hAnsi="Times New Roman" w:cs="Times New Roman"/>
          <w:color w:val="000000"/>
          <w:kern w:val="2"/>
          <w:sz w:val="24"/>
          <w:lang w:val="ru-RU" w:eastAsia="ru-RU"/>
          <w14:ligatures w14:val="standardContextual"/>
        </w:rPr>
        <w:t xml:space="preserve">Окислювальний стрес спричинений посиленим утворенням вільних радикалів. </w:t>
      </w:r>
    </w:p>
    <w:p w:rsidR="008836BB" w:rsidRPr="008836BB" w:rsidRDefault="008836BB" w:rsidP="008836BB">
      <w:pPr>
        <w:numPr>
          <w:ilvl w:val="0"/>
          <w:numId w:val="2"/>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Зміна співвідношення об’єму сірої речовини в таламічній ділянці. </w:t>
      </w:r>
    </w:p>
    <w:p w:rsidR="008836BB" w:rsidRPr="008836BB" w:rsidRDefault="008836BB" w:rsidP="008836BB">
      <w:pPr>
        <w:numPr>
          <w:ilvl w:val="0"/>
          <w:numId w:val="2"/>
        </w:numPr>
        <w:spacing w:after="13" w:line="267" w:lineRule="auto"/>
        <w:ind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Теорія яка враховує декілька механізмів, таких як окислювальний стрес, прозапалення, іонні канали та мембранні рецептори.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Діагностичні вектори нейропатичного болю можна розділи на суб’єктивні та кількісні. До суб’єктиних досліджень відносяться - тест DN4 (Douleur Neuropathique 4), який складається з 10 пунктів у своїй оригінальній версії, включаючи 7 пунктів, які самостійно заповнюють пацієнти з різними симптомами нейропатичного болю , і 3 пункти, які має заповнити лікар після огляду. В даному тесті бал - 4, вказує на те, що нейропатичний біль вірогідний, а його чутливість і специфічність становлять 83% і 90%.Також існує спрощена версія тесту - S-DN4 (Douleur Neuropathique en 4 Questions) яка містить лише 7 пунктів. Числова шкала оцінюється наступним чином: тяжкість болю обчислюється за шкалою від 0 до 10 , де 0 означає відсутність болю, а 10 — нестерпний». План обстеження пацієнта з нейропатичним болем включає застосування больової шкали LANSS (Leeds Assessment of Neuropathic Symptoms).  LANSS має п’ять дескрипторів симптомів і два результати обстеження. </w:t>
      </w:r>
    </w:p>
    <w:p w:rsidR="008836BB" w:rsidRPr="008836BB" w:rsidRDefault="008836BB" w:rsidP="008836BB">
      <w:pPr>
        <w:tabs>
          <w:tab w:val="center" w:pos="1964"/>
          <w:tab w:val="center" w:pos="3235"/>
          <w:tab w:val="center" w:pos="4979"/>
          <w:tab w:val="center" w:pos="6483"/>
          <w:tab w:val="center" w:pos="8009"/>
          <w:tab w:val="center" w:pos="9459"/>
          <w:tab w:val="center" w:pos="10603"/>
        </w:tabs>
        <w:spacing w:after="20"/>
        <w:rPr>
          <w:rFonts w:ascii="Times New Roman" w:eastAsia="Times New Roman" w:hAnsi="Times New Roman" w:cs="Times New Roman"/>
          <w:color w:val="000000"/>
          <w:kern w:val="2"/>
          <w:sz w:val="24"/>
          <w:lang w:val="ru-RU" w:eastAsia="ru-RU"/>
          <w14:ligatures w14:val="standardContextual"/>
        </w:rPr>
      </w:pPr>
      <w:r w:rsidRPr="008836BB">
        <w:rPr>
          <w:rFonts w:ascii="Calibri" w:eastAsia="Calibri" w:hAnsi="Calibri" w:cs="Calibri"/>
          <w:color w:val="000000"/>
          <w:kern w:val="2"/>
          <w:lang w:val="ru-RU" w:eastAsia="ru-RU"/>
          <w14:ligatures w14:val="standardContextual"/>
        </w:rPr>
        <w:tab/>
      </w:r>
      <w:r w:rsidRPr="008836BB">
        <w:rPr>
          <w:rFonts w:ascii="Times New Roman" w:eastAsia="Times New Roman" w:hAnsi="Times New Roman" w:cs="Times New Roman"/>
          <w:color w:val="000000"/>
          <w:kern w:val="2"/>
          <w:sz w:val="24"/>
          <w:lang w:val="ru-RU" w:eastAsia="ru-RU"/>
          <w14:ligatures w14:val="standardContextual"/>
        </w:rPr>
        <w:t xml:space="preserve">Згідно </w:t>
      </w:r>
      <w:r w:rsidRPr="008836BB">
        <w:rPr>
          <w:rFonts w:ascii="Times New Roman" w:eastAsia="Times New Roman" w:hAnsi="Times New Roman" w:cs="Times New Roman"/>
          <w:color w:val="000000"/>
          <w:kern w:val="2"/>
          <w:sz w:val="24"/>
          <w:lang w:val="ru-RU" w:eastAsia="ru-RU"/>
          <w14:ligatures w14:val="standardContextual"/>
        </w:rPr>
        <w:tab/>
        <w:t xml:space="preserve">Німецького </w:t>
      </w:r>
      <w:r w:rsidRPr="008836BB">
        <w:rPr>
          <w:rFonts w:ascii="Times New Roman" w:eastAsia="Times New Roman" w:hAnsi="Times New Roman" w:cs="Times New Roman"/>
          <w:color w:val="000000"/>
          <w:kern w:val="2"/>
          <w:sz w:val="24"/>
          <w:lang w:val="ru-RU" w:eastAsia="ru-RU"/>
          <w14:ligatures w14:val="standardContextual"/>
        </w:rPr>
        <w:tab/>
        <w:t xml:space="preserve">дослідницького </w:t>
      </w:r>
      <w:r w:rsidRPr="008836BB">
        <w:rPr>
          <w:rFonts w:ascii="Times New Roman" w:eastAsia="Times New Roman" w:hAnsi="Times New Roman" w:cs="Times New Roman"/>
          <w:color w:val="000000"/>
          <w:kern w:val="2"/>
          <w:sz w:val="24"/>
          <w:lang w:val="ru-RU" w:eastAsia="ru-RU"/>
          <w14:ligatures w14:val="standardContextual"/>
        </w:rPr>
        <w:tab/>
        <w:t xml:space="preserve">центру </w:t>
      </w:r>
      <w:r w:rsidRPr="008836BB">
        <w:rPr>
          <w:rFonts w:ascii="Times New Roman" w:eastAsia="Times New Roman" w:hAnsi="Times New Roman" w:cs="Times New Roman"/>
          <w:color w:val="000000"/>
          <w:kern w:val="2"/>
          <w:sz w:val="24"/>
          <w:lang w:val="ru-RU" w:eastAsia="ru-RU"/>
          <w14:ligatures w14:val="standardContextual"/>
        </w:rPr>
        <w:tab/>
        <w:t xml:space="preserve">нейропатичного </w:t>
      </w:r>
      <w:r w:rsidRPr="008836BB">
        <w:rPr>
          <w:rFonts w:ascii="Times New Roman" w:eastAsia="Times New Roman" w:hAnsi="Times New Roman" w:cs="Times New Roman"/>
          <w:color w:val="000000"/>
          <w:kern w:val="2"/>
          <w:sz w:val="24"/>
          <w:lang w:val="ru-RU" w:eastAsia="ru-RU"/>
          <w14:ligatures w14:val="standardContextual"/>
        </w:rPr>
        <w:tab/>
        <w:t xml:space="preserve">болю </w:t>
      </w:r>
      <w:r w:rsidRPr="008836BB">
        <w:rPr>
          <w:rFonts w:ascii="Times New Roman" w:eastAsia="Times New Roman" w:hAnsi="Times New Roman" w:cs="Times New Roman"/>
          <w:color w:val="000000"/>
          <w:kern w:val="2"/>
          <w:sz w:val="24"/>
          <w:lang w:val="ru-RU" w:eastAsia="ru-RU"/>
          <w14:ligatures w14:val="standardContextual"/>
        </w:rPr>
        <w:tab/>
        <w:t xml:space="preserve">(Deutscher </w:t>
      </w:r>
    </w:p>
    <w:p w:rsidR="008836BB" w:rsidRPr="008836BB" w:rsidRDefault="008836BB" w:rsidP="008836BB">
      <w:pPr>
        <w:spacing w:after="13" w:line="267" w:lineRule="auto"/>
        <w:ind w:left="9"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Forschungsverbund Neuropathischer Schmerz [DFNS]) для кількісного сенсорного тестування використовується набір механічних і термічних стимулів (волосковий естезіометр Фрея, алгометрія тиску, кількісне термічне тестування ) і оцінюється як негативні ознаки (втрата функції), так і позитивні ознаки (посилення функції) у ноцицептивній і неноцицептивній аферентній нервовій системах.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lastRenderedPageBreak/>
        <w:t xml:space="preserve">Загалом лікування нейропатичного болю є складним, і якщо не затримуватись на конкретних теоріях, то можна виділити терапевтичні підходи які включають медикаментозне лікування, нейростимуляцію, фізичні та психологічні методи лікування, а також хірургічне втручання.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Згідно рекомендацій Міжнародної асоціації з вивчення болю (IASP), фармакологічними препаратами з високою ефективністю лікування нейропатичного болю  прийнято вважати - трициклічні антидепресанти (TCA), інгібітори зворотного захоплення серотоніну-норадреналіну SNRIs, габапентин і прегабалін [4]. Ці препарати відносяться до першочергових. Серед протиепілептичних засобів, включаючи препарати з пролонгованим вивільненням, найкраще встановлена для лікування периферичного невропатичного болю та, меншою мірою, болю при травмі спинного мозку. Проте за останні 5 років кількість негативних випробувань зросла. Знеболювальний ефект цих препаратів пов’язаний головним чином зі зниженням центральної сенсибілізації. Трициклічні антидепресанти ТЦА ( головним чином - амітриптилін) є основним варіантом лікування нейропатичного болю, але можуть спричинити когнітивні порушення (слід уважно призначати пацієнтам з контузіями – посилання до теперішнього часу активних бойових дій в Україні). ТЦА мають кілька способів дії, причому найважливіший знеболюючий ефект, ймовірно, полягає в гальмуванні  повторного захоплення серотоніну та норадреналіну. Однак вони також блокують гістамінові, адреналінові, ацетилхолінові та натрієві канали, тим самим мають широкий профіль побічних ефектів. Залежно від препарату рекомендується призначати  фармакологічні засоби тривалістю від трьох до восьми тижнів з переглядом дозування посередині  курсу та в кінці для оцінки ефективності терапії. Якщо пацієнт не отримує значного полегшення або має побічні ефекти від ліків, тоді слід скоригувати дозування, спробувати альтернативний препарат або комбіновану терапію.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До фармакологічних засобів за вибором включають ліки місцевої дії , такі як лідокаїн, капсаїцин.  (набули широкого використання в фізіатрії при терапії нейропатичного болю). Іншим потужним нейротоксином є  Ботулінічний токсин А, який зазвичай використовується для лікування вогнищевої гіперактивності м’язів і має високу ефективність повторних введень протягом 6 місяців із посиленням ефекту другої ін’єкції . Токсин відіграє сприятливу роль у лікуванні периферичного нейропатичного болю (наприклад, діабетичного нейропатичного болю, постгерпетичної невралгії та невралгії трійчастого нерву). Відомо, що деякі доступні фармакологічні засоби не завжди  здатні впоратися з болем на довгостроковій основі, і з часом у пацієнтів розвивається резистентність і толерантність до знеболювальних препаратів. Отже, за відсутності протипоказань бажано використовувати методи неінвазивної терапії. Рандомізовані контрольовані дослідження надають докази довгострокової ефективності при впливах транскраніальної  магнітної стимуляції (rTMS).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Одним із головних та доступних методів  лікування нейропатичного болю у пацієнтів з травмою спинного мозку вважається - транскутанна електрична стимуляція (TENS) [5]. У літературі описується симптоматичне полегшення болю за рахунок збудження сенсорних нервів, при використанні TENS з високою частотою 80 Гц та тривалістю процедури 45 хвилин. Також, для зниження сили болю  у літніх людей рекомендовано використання лазерної терапії глибоких тканин (DTLT). Для лікування важких випадків, неефективності консервативних методів або для профілактики  посттравматичного нейропатичного болю при первинних хірургічних втручаннях використовують хірургічні методи лікування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У літературі зустрічаються різні способи класифікувати хірургічні процедури, вживані для лікування та профілактики посттравматичного нейропатичного болю. Деякі дослідники виділяють “класичні” та “нові” процедури, чи “пасивні” та ”активні”, або групують в залежності від доступності дистальних кінців нерва. Інші автори класифікують хірургічні техніки на кінцеве закриття, транспозицію з імплантацією, нейрорафія, альтернативну кінцеву </w:t>
      </w:r>
      <w:r w:rsidRPr="008836BB">
        <w:rPr>
          <w:rFonts w:ascii="Times New Roman" w:eastAsia="Times New Roman" w:hAnsi="Times New Roman" w:cs="Times New Roman"/>
          <w:color w:val="000000"/>
          <w:kern w:val="2"/>
          <w:sz w:val="24"/>
          <w:lang w:val="ru-RU" w:eastAsia="ru-RU"/>
          <w14:ligatures w14:val="standardContextual"/>
        </w:rPr>
        <w:lastRenderedPageBreak/>
        <w:t xml:space="preserve">реіннервацію  [6]. Хірургічні техніки поділяються на техніки з відсутньою мішенню (target deficient), техніки перепризначення мішені (target relocation), та техніки збереження цілі (target in continuity).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Найбільш часто використовуваною та найкраще вивченою стратегією нейромодуляції є стимуляція спинного мозку, під час якої застосовується монофазний прямокутний імпульс (частота в діапазоні 30–100 Гц), що призводить до парестезії в больовій області. Відносна безпека та оборотність стимуляції спинного мозку, а також її економічна ефективність у довгостроковій перспективі зробили її привабливою стратегією для лікування пацієнтів із рефрактерним хронічним нейропатичним болем. Повідомлялося, що нейростимуляція аферентних волокон за межами спинного мозку (наприклад, ганглія спинного корінця, який містить клітинні тіла сенсорних нейронів і периферичних нервів) і стимуляція підшкірного поля периферичних нервів забезпечує полегшення болю при різних хронічних нейропатичних больових станах, включаючи потиличну невралгію та постгерпетичну невралгію. Епідуральна стимуляція моторної кори головного мозку (ECMS), повторювана транскраніальна магнітна стимуляція (rTMS) і транскраніальна стимуляція постійним струмом (tDCS) прецентральної моторної кори головного мозку на рівнях нижче моторного порогу були запропоновані як варіанти лікування пацієнтів із рефрактерним хронічним нейропатичним болем.  </w:t>
      </w:r>
    </w:p>
    <w:p w:rsidR="008836BB" w:rsidRPr="008836BB" w:rsidRDefault="008836BB" w:rsidP="008836BB">
      <w:pPr>
        <w:spacing w:after="13"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Психологічні втручання призначені для сприяння контролю болю та зменшення його негативних наслідків. Лікування часто надається після того, як фармакологічні чи фізичні втручання виявилися неефективними, хоча їх можна було б запровадити раніше та разом із непсихологічними втручаннями. Когнітивно-поведінкова терапія (КПТ) привернула найбільшу увагу досліджень; однак КПТ не є єдиним методом лікування. Такі методи лікування стосуються настрою (як правило, тривоги та депресії), функції (включаючи інвалідність) і соціальної активності, а також опосередковано спрямовані на знеболення. </w:t>
      </w:r>
    </w:p>
    <w:p w:rsidR="008836BB" w:rsidRPr="008836BB" w:rsidRDefault="008836BB" w:rsidP="008836BB">
      <w:pPr>
        <w:spacing w:after="142" w:line="267" w:lineRule="auto"/>
        <w:ind w:left="9" w:right="56" w:firstLine="710"/>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color w:val="000000"/>
          <w:kern w:val="2"/>
          <w:sz w:val="24"/>
          <w:lang w:val="ru-RU" w:eastAsia="ru-RU"/>
          <w14:ligatures w14:val="standardContextual"/>
        </w:rPr>
        <w:t xml:space="preserve">Загальним висновком є те що немає однієї стратегії лікування нейропатичного болю. Лікування має базуватись на механізмі болю. Знаючи, як певні захворювання (наприклад, діабет, рак) або інші фактори (наприклад, порушення балансу між ендогенними опіоїдними системами) викликають нейропатичний біль, ми можемо використовувати подальший підхід, заснований на механізмі болю, для призначення оптимальних анальгетиків, чи звернення до хірургії, чи підбору комплексного лікування. </w:t>
      </w:r>
    </w:p>
    <w:p w:rsidR="008836BB" w:rsidRPr="008836BB" w:rsidRDefault="008836BB" w:rsidP="008836BB">
      <w:pPr>
        <w:keepNext/>
        <w:keepLines/>
        <w:spacing w:after="259" w:line="260" w:lineRule="auto"/>
        <w:ind w:left="749" w:right="803" w:hanging="10"/>
        <w:jc w:val="center"/>
        <w:outlineLvl w:val="1"/>
        <w:rPr>
          <w:rFonts w:ascii="Times New Roman" w:eastAsia="Times New Roman" w:hAnsi="Times New Roman" w:cs="Times New Roman"/>
          <w:b/>
          <w:color w:val="000000"/>
          <w:kern w:val="2"/>
          <w:sz w:val="24"/>
          <w:lang w:val="ru-RU" w:eastAsia="ru-RU"/>
          <w14:ligatures w14:val="standardContextual"/>
        </w:rPr>
      </w:pPr>
      <w:r w:rsidRPr="008836BB">
        <w:rPr>
          <w:rFonts w:ascii="Times New Roman" w:eastAsia="Times New Roman" w:hAnsi="Times New Roman" w:cs="Times New Roman"/>
          <w:b/>
          <w:color w:val="000000"/>
          <w:kern w:val="2"/>
          <w:sz w:val="24"/>
          <w:lang w:val="ru-RU" w:eastAsia="ru-RU"/>
          <w14:ligatures w14:val="standardContextual"/>
        </w:rPr>
        <w:t xml:space="preserve">ВІДОМОСТІ ПРО АВТОРІВ </w:t>
      </w:r>
    </w:p>
    <w:p w:rsidR="008836BB" w:rsidRPr="008836BB" w:rsidRDefault="008836BB" w:rsidP="008836BB">
      <w:pPr>
        <w:spacing w:after="13" w:line="267" w:lineRule="auto"/>
        <w:ind w:left="9"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b/>
          <w:color w:val="000000"/>
          <w:kern w:val="2"/>
          <w:sz w:val="24"/>
          <w:lang w:val="ru-RU" w:eastAsia="ru-RU"/>
          <w14:ligatures w14:val="standardContextual"/>
        </w:rPr>
        <w:t>Паламарчук Андрій Леонідович,</w:t>
      </w:r>
      <w:r w:rsidRPr="008836BB">
        <w:rPr>
          <w:rFonts w:ascii="Times New Roman" w:eastAsia="Times New Roman" w:hAnsi="Times New Roman" w:cs="Times New Roman"/>
          <w:color w:val="000000"/>
          <w:kern w:val="2"/>
          <w:sz w:val="24"/>
          <w:lang w:val="ru-RU" w:eastAsia="ru-RU"/>
          <w14:ligatures w14:val="standardContextual"/>
        </w:rPr>
        <w:t xml:space="preserve"> завідуючий кафедрою фізіології, медичної біології і біологічної фізики </w:t>
      </w:r>
      <w:r w:rsidRPr="008836BB">
        <w:rPr>
          <w:rFonts w:ascii="Times New Roman" w:eastAsia="Times New Roman" w:hAnsi="Times New Roman" w:cs="Times New Roman"/>
          <w:color w:val="222222"/>
          <w:kern w:val="2"/>
          <w:sz w:val="24"/>
          <w:lang w:val="ru-RU" w:eastAsia="ru-RU"/>
          <w14:ligatures w14:val="standardContextual"/>
        </w:rPr>
        <w:t>ПВНЗ «Київський медичний університет»</w:t>
      </w:r>
      <w:r w:rsidRPr="008836BB">
        <w:rPr>
          <w:rFonts w:ascii="Times New Roman" w:eastAsia="Times New Roman" w:hAnsi="Times New Roman" w:cs="Times New Roman"/>
          <w:color w:val="000000"/>
          <w:kern w:val="2"/>
          <w:sz w:val="24"/>
          <w:lang w:val="ru-RU" w:eastAsia="ru-RU"/>
          <w14:ligatures w14:val="standardContextual"/>
        </w:rPr>
        <w:t xml:space="preserve">, к.мед.наук, +380500855579, </w:t>
      </w:r>
      <w:r w:rsidRPr="008836BB">
        <w:rPr>
          <w:rFonts w:ascii="Times New Roman" w:eastAsia="Times New Roman" w:hAnsi="Times New Roman" w:cs="Times New Roman"/>
          <w:color w:val="000000"/>
          <w:kern w:val="2"/>
          <w:sz w:val="24"/>
          <w:lang w:val="en-US" w:eastAsia="ru-RU"/>
          <w14:ligatures w14:val="standardContextual"/>
        </w:rPr>
        <w:t>a</w:t>
      </w:r>
      <w:r w:rsidRPr="008836BB">
        <w:rPr>
          <w:rFonts w:ascii="Times New Roman" w:eastAsia="Times New Roman" w:hAnsi="Times New Roman" w:cs="Times New Roman"/>
          <w:color w:val="000000"/>
          <w:kern w:val="2"/>
          <w:sz w:val="24"/>
          <w:lang w:val="ru-RU" w:eastAsia="ru-RU"/>
          <w14:ligatures w14:val="standardContextual"/>
        </w:rPr>
        <w:t>.</w:t>
      </w:r>
      <w:r w:rsidRPr="008836BB">
        <w:rPr>
          <w:rFonts w:ascii="Times New Roman" w:eastAsia="Times New Roman" w:hAnsi="Times New Roman" w:cs="Times New Roman"/>
          <w:color w:val="000000"/>
          <w:kern w:val="2"/>
          <w:sz w:val="24"/>
          <w:lang w:val="en-US" w:eastAsia="ru-RU"/>
          <w14:ligatures w14:val="standardContextual"/>
        </w:rPr>
        <w:t>palamarchuk</w:t>
      </w:r>
      <w:r w:rsidRPr="008836BB">
        <w:rPr>
          <w:rFonts w:ascii="Times New Roman" w:eastAsia="Times New Roman" w:hAnsi="Times New Roman" w:cs="Times New Roman"/>
          <w:color w:val="000000"/>
          <w:kern w:val="2"/>
          <w:sz w:val="24"/>
          <w:lang w:val="ru-RU" w:eastAsia="ru-RU"/>
          <w14:ligatures w14:val="standardContextual"/>
        </w:rPr>
        <w:t>@</w:t>
      </w:r>
      <w:r w:rsidRPr="008836BB">
        <w:rPr>
          <w:rFonts w:ascii="Times New Roman" w:eastAsia="Times New Roman" w:hAnsi="Times New Roman" w:cs="Times New Roman"/>
          <w:color w:val="000000"/>
          <w:kern w:val="2"/>
          <w:sz w:val="24"/>
          <w:lang w:val="en-US" w:eastAsia="ru-RU"/>
          <w14:ligatures w14:val="standardContextual"/>
        </w:rPr>
        <w:t>kmu</w:t>
      </w:r>
      <w:r w:rsidRPr="008836BB">
        <w:rPr>
          <w:rFonts w:ascii="Times New Roman" w:eastAsia="Times New Roman" w:hAnsi="Times New Roman" w:cs="Times New Roman"/>
          <w:color w:val="000000"/>
          <w:kern w:val="2"/>
          <w:sz w:val="24"/>
          <w:lang w:val="ru-RU" w:eastAsia="ru-RU"/>
          <w14:ligatures w14:val="standardContextual"/>
        </w:rPr>
        <w:t>.</w:t>
      </w:r>
      <w:r w:rsidRPr="008836BB">
        <w:rPr>
          <w:rFonts w:ascii="Times New Roman" w:eastAsia="Times New Roman" w:hAnsi="Times New Roman" w:cs="Times New Roman"/>
          <w:color w:val="000000"/>
          <w:kern w:val="2"/>
          <w:sz w:val="24"/>
          <w:lang w:val="en-US" w:eastAsia="ru-RU"/>
          <w14:ligatures w14:val="standardContextual"/>
        </w:rPr>
        <w:t>edu</w:t>
      </w:r>
      <w:r w:rsidRPr="008836BB">
        <w:rPr>
          <w:rFonts w:ascii="Times New Roman" w:eastAsia="Times New Roman" w:hAnsi="Times New Roman" w:cs="Times New Roman"/>
          <w:color w:val="000000"/>
          <w:kern w:val="2"/>
          <w:sz w:val="24"/>
          <w:lang w:val="ru-RU" w:eastAsia="ru-RU"/>
          <w14:ligatures w14:val="standardContextual"/>
        </w:rPr>
        <w:t>.</w:t>
      </w:r>
      <w:r w:rsidRPr="008836BB">
        <w:rPr>
          <w:rFonts w:ascii="Times New Roman" w:eastAsia="Times New Roman" w:hAnsi="Times New Roman" w:cs="Times New Roman"/>
          <w:color w:val="000000"/>
          <w:kern w:val="2"/>
          <w:sz w:val="24"/>
          <w:lang w:val="en-US" w:eastAsia="ru-RU"/>
          <w14:ligatures w14:val="standardContextual"/>
        </w:rPr>
        <w:t>ua</w:t>
      </w:r>
      <w:r w:rsidRPr="008836BB">
        <w:rPr>
          <w:rFonts w:ascii="Times New Roman" w:eastAsia="Times New Roman" w:hAnsi="Times New Roman" w:cs="Times New Roman"/>
          <w:color w:val="0000FF"/>
          <w:kern w:val="2"/>
          <w:sz w:val="24"/>
          <w:u w:val="single" w:color="0000FF"/>
          <w:lang w:val="ru-RU" w:eastAsia="ru-RU"/>
          <w14:ligatures w14:val="standardContextual"/>
        </w:rPr>
        <w:t>;</w:t>
      </w:r>
      <w:r w:rsidRPr="008836BB">
        <w:rPr>
          <w:rFonts w:ascii="Times New Roman" w:eastAsia="Times New Roman" w:hAnsi="Times New Roman" w:cs="Times New Roman"/>
          <w:color w:val="000000"/>
          <w:kern w:val="2"/>
          <w:sz w:val="24"/>
          <w:lang w:val="ru-RU" w:eastAsia="ru-RU"/>
          <w14:ligatures w14:val="standardContextual"/>
        </w:rPr>
        <w:t xml:space="preserve"> </w:t>
      </w:r>
    </w:p>
    <w:p w:rsidR="008836BB" w:rsidRPr="008836BB" w:rsidRDefault="008836BB" w:rsidP="008836BB">
      <w:pPr>
        <w:spacing w:after="84" w:line="267" w:lineRule="auto"/>
        <w:ind w:left="9" w:right="56"/>
        <w:jc w:val="both"/>
        <w:rPr>
          <w:rFonts w:ascii="Times New Roman" w:eastAsia="Times New Roman" w:hAnsi="Times New Roman" w:cs="Times New Roman"/>
          <w:color w:val="000000"/>
          <w:kern w:val="2"/>
          <w:sz w:val="24"/>
          <w:lang w:val="ru-RU" w:eastAsia="ru-RU"/>
          <w14:ligatures w14:val="standardContextual"/>
        </w:rPr>
      </w:pPr>
      <w:r w:rsidRPr="008836BB">
        <w:rPr>
          <w:rFonts w:ascii="Times New Roman" w:eastAsia="Times New Roman" w:hAnsi="Times New Roman" w:cs="Times New Roman"/>
          <w:b/>
          <w:color w:val="000000"/>
          <w:kern w:val="2"/>
          <w:sz w:val="24"/>
          <w:lang w:val="ru-RU" w:eastAsia="ru-RU"/>
          <w14:ligatures w14:val="standardContextual"/>
        </w:rPr>
        <w:t xml:space="preserve">Шестеріна Дарія Володимирівна, </w:t>
      </w:r>
      <w:r w:rsidRPr="008836BB">
        <w:rPr>
          <w:rFonts w:ascii="Times New Roman" w:eastAsia="Times New Roman" w:hAnsi="Times New Roman" w:cs="Times New Roman"/>
          <w:color w:val="000000"/>
          <w:kern w:val="2"/>
          <w:sz w:val="24"/>
          <w:lang w:val="ru-RU" w:eastAsia="ru-RU"/>
          <w14:ligatures w14:val="standardContextual"/>
        </w:rPr>
        <w:t xml:space="preserve">викладач кафедри фізіології, медичної біології, біологічної фізики </w:t>
      </w:r>
      <w:r w:rsidRPr="008836BB">
        <w:rPr>
          <w:rFonts w:ascii="Times New Roman" w:eastAsia="Times New Roman" w:hAnsi="Times New Roman" w:cs="Times New Roman"/>
          <w:color w:val="222222"/>
          <w:kern w:val="2"/>
          <w:sz w:val="24"/>
          <w:lang w:val="ru-RU" w:eastAsia="ru-RU"/>
          <w14:ligatures w14:val="standardContextual"/>
        </w:rPr>
        <w:t>ПВНЗ «Київський медичний університет»</w:t>
      </w:r>
      <w:r w:rsidRPr="008836BB">
        <w:rPr>
          <w:rFonts w:ascii="Times New Roman" w:eastAsia="Times New Roman" w:hAnsi="Times New Roman" w:cs="Times New Roman"/>
          <w:color w:val="000000"/>
          <w:kern w:val="2"/>
          <w:sz w:val="24"/>
          <w:lang w:val="ru-RU" w:eastAsia="ru-RU"/>
          <w14:ligatures w14:val="standardContextual"/>
        </w:rPr>
        <w:t xml:space="preserve">, +38067 166 0169, </w:t>
      </w:r>
      <w:r w:rsidRPr="008836BB">
        <w:rPr>
          <w:rFonts w:ascii="Times New Roman" w:eastAsia="Times New Roman" w:hAnsi="Times New Roman" w:cs="Times New Roman"/>
          <w:color w:val="0000FF"/>
          <w:kern w:val="2"/>
          <w:sz w:val="24"/>
          <w:u w:val="single" w:color="0000FF"/>
          <w:lang w:val="en-US" w:eastAsia="ru-RU"/>
          <w14:ligatures w14:val="standardContextual"/>
        </w:rPr>
        <w:t>d</w:t>
      </w:r>
      <w:r w:rsidRPr="008836BB">
        <w:rPr>
          <w:rFonts w:ascii="Times New Roman" w:eastAsia="Times New Roman" w:hAnsi="Times New Roman" w:cs="Times New Roman"/>
          <w:color w:val="0000FF"/>
          <w:kern w:val="2"/>
          <w:sz w:val="24"/>
          <w:u w:val="single" w:color="0000FF"/>
          <w:lang w:val="ru-RU" w:eastAsia="ru-RU"/>
          <w14:ligatures w14:val="standardContextual"/>
        </w:rPr>
        <w:t>.</w:t>
      </w:r>
      <w:r w:rsidRPr="008836BB">
        <w:rPr>
          <w:rFonts w:ascii="Times New Roman" w:eastAsia="Times New Roman" w:hAnsi="Times New Roman" w:cs="Times New Roman"/>
          <w:color w:val="0000FF"/>
          <w:kern w:val="2"/>
          <w:sz w:val="24"/>
          <w:u w:val="single" w:color="0000FF"/>
          <w:lang w:val="en-US" w:eastAsia="ru-RU"/>
          <w14:ligatures w14:val="standardContextual"/>
        </w:rPr>
        <w:t>shesterina</w:t>
      </w:r>
      <w:r w:rsidRPr="008836BB">
        <w:rPr>
          <w:rFonts w:ascii="Times New Roman" w:eastAsia="Times New Roman" w:hAnsi="Times New Roman" w:cs="Times New Roman"/>
          <w:color w:val="0000FF"/>
          <w:kern w:val="2"/>
          <w:sz w:val="24"/>
          <w:u w:val="single" w:color="0000FF"/>
          <w:lang w:val="ru-RU" w:eastAsia="ru-RU"/>
          <w14:ligatures w14:val="standardContextual"/>
        </w:rPr>
        <w:t>@</w:t>
      </w:r>
      <w:r w:rsidRPr="008836BB">
        <w:rPr>
          <w:rFonts w:ascii="Times New Roman" w:eastAsia="Times New Roman" w:hAnsi="Times New Roman" w:cs="Times New Roman"/>
          <w:color w:val="0000FF"/>
          <w:kern w:val="2"/>
          <w:sz w:val="24"/>
          <w:u w:val="single" w:color="0000FF"/>
          <w:lang w:val="en-US" w:eastAsia="ru-RU"/>
          <w14:ligatures w14:val="standardContextual"/>
        </w:rPr>
        <w:t>kmu</w:t>
      </w:r>
      <w:r w:rsidRPr="008836BB">
        <w:rPr>
          <w:rFonts w:ascii="Times New Roman" w:eastAsia="Times New Roman" w:hAnsi="Times New Roman" w:cs="Times New Roman"/>
          <w:color w:val="0000FF"/>
          <w:kern w:val="2"/>
          <w:sz w:val="24"/>
          <w:u w:val="single" w:color="0000FF"/>
          <w:lang w:val="ru-RU" w:eastAsia="ru-RU"/>
          <w14:ligatures w14:val="standardContextual"/>
        </w:rPr>
        <w:t>.</w:t>
      </w:r>
      <w:r w:rsidRPr="008836BB">
        <w:rPr>
          <w:rFonts w:ascii="Times New Roman" w:eastAsia="Times New Roman" w:hAnsi="Times New Roman" w:cs="Times New Roman"/>
          <w:color w:val="0000FF"/>
          <w:kern w:val="2"/>
          <w:sz w:val="24"/>
          <w:u w:val="single" w:color="0000FF"/>
          <w:lang w:val="en-US" w:eastAsia="ru-RU"/>
          <w14:ligatures w14:val="standardContextual"/>
        </w:rPr>
        <w:t>edu</w:t>
      </w:r>
      <w:r w:rsidRPr="008836BB">
        <w:rPr>
          <w:rFonts w:ascii="Times New Roman" w:eastAsia="Times New Roman" w:hAnsi="Times New Roman" w:cs="Times New Roman"/>
          <w:color w:val="0000FF"/>
          <w:kern w:val="2"/>
          <w:sz w:val="24"/>
          <w:u w:val="single" w:color="0000FF"/>
          <w:lang w:val="ru-RU" w:eastAsia="ru-RU"/>
          <w14:ligatures w14:val="standardContextual"/>
        </w:rPr>
        <w:t>.</w:t>
      </w:r>
      <w:r w:rsidRPr="008836BB">
        <w:rPr>
          <w:rFonts w:ascii="Times New Roman" w:eastAsia="Times New Roman" w:hAnsi="Times New Roman" w:cs="Times New Roman"/>
          <w:color w:val="0000FF"/>
          <w:kern w:val="2"/>
          <w:sz w:val="24"/>
          <w:u w:val="single" w:color="0000FF"/>
          <w:lang w:val="en-US" w:eastAsia="ru-RU"/>
          <w14:ligatures w14:val="standardContextual"/>
        </w:rPr>
        <w:t>ua</w:t>
      </w:r>
      <w:r w:rsidRPr="008836BB">
        <w:rPr>
          <w:rFonts w:ascii="Times New Roman" w:eastAsia="Times New Roman" w:hAnsi="Times New Roman" w:cs="Times New Roman"/>
          <w:color w:val="000000"/>
          <w:kern w:val="2"/>
          <w:sz w:val="24"/>
          <w:lang w:val="ru-RU" w:eastAsia="ru-RU"/>
          <w14:ligatures w14:val="standardContextual"/>
        </w:rPr>
        <w:t xml:space="preserve">.  </w:t>
      </w:r>
    </w:p>
    <w:p w:rsidR="00F231DC" w:rsidRPr="008836BB" w:rsidRDefault="00F231DC">
      <w:pPr>
        <w:rPr>
          <w:lang w:val="ru-RU"/>
        </w:rPr>
      </w:pPr>
      <w:bookmarkStart w:id="0" w:name="_GoBack"/>
      <w:bookmarkEnd w:id="0"/>
    </w:p>
    <w:sectPr w:rsidR="00F231DC" w:rsidRPr="008836B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1A7958"/>
    <w:multiLevelType w:val="hybridMultilevel"/>
    <w:tmpl w:val="03542E14"/>
    <w:lvl w:ilvl="0" w:tplc="053410EC">
      <w:start w:val="1"/>
      <w:numFmt w:val="decimal"/>
      <w:lvlText w:val="%1)"/>
      <w:lvlJc w:val="left"/>
      <w:pPr>
        <w:ind w:left="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2436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480AE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D69E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C0CC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948F7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3A890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20B35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28737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4012D37"/>
    <w:multiLevelType w:val="hybridMultilevel"/>
    <w:tmpl w:val="AD3C5F2C"/>
    <w:lvl w:ilvl="0" w:tplc="7E564040">
      <w:start w:val="9"/>
      <w:numFmt w:val="decimal"/>
      <w:lvlText w:val="%1)"/>
      <w:lvlJc w:val="left"/>
      <w:pPr>
        <w:ind w:left="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6EB2F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4AB50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C81C9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1C54B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BE032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2093E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DC758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ACE1B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BB"/>
    <w:rsid w:val="008836BB"/>
    <w:rsid w:val="00F231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F4D04F-BCDD-4E13-A42B-471D44FB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8756</Words>
  <Characters>4991</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Darya Vladimirovna</dc:creator>
  <cp:keywords/>
  <dc:description/>
  <cp:lastModifiedBy>Darya Vladimirovna</cp:lastModifiedBy>
  <cp:revision>1</cp:revision>
  <dcterms:created xsi:type="dcterms:W3CDTF">2024-11-11T07:31:00Z</dcterms:created>
  <dcterms:modified xsi:type="dcterms:W3CDTF">2024-11-11T07:31:00Z</dcterms:modified>
</cp:coreProperties>
</file>