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4541" w:rsidRDefault="005B26BB">
      <w:pPr>
        <w:pBdr>
          <w:top w:val="nil"/>
          <w:left w:val="nil"/>
          <w:bottom w:val="nil"/>
          <w:right w:val="nil"/>
          <w:between w:val="nil"/>
        </w:pBdr>
        <w:spacing w:after="0" w:line="240" w:lineRule="auto"/>
        <w:ind w:left="4111"/>
        <w:rPr>
          <w:rFonts w:ascii="Times New Roman" w:eastAsia="Times New Roman" w:hAnsi="Times New Roman" w:cs="Times New Roman"/>
          <w:color w:val="000000"/>
        </w:rPr>
      </w:pPr>
      <w:bookmarkStart w:id="0" w:name="_heading=h.gjdgxs" w:colFirst="0" w:colLast="0"/>
      <w:bookmarkEnd w:id="0"/>
      <w:r>
        <w:rPr>
          <w:rFonts w:ascii="Times New Roman" w:eastAsia="Times New Roman" w:hAnsi="Times New Roman" w:cs="Times New Roman"/>
          <w:b/>
          <w:bCs/>
          <w:noProof/>
          <w:color w:val="000000"/>
          <w:sz w:val="48"/>
          <w:szCs w:val="48"/>
          <w:lang w:val="uk-UA"/>
        </w:rPr>
        <w:drawing>
          <wp:inline distT="0" distB="0" distL="0" distR="0">
            <wp:extent cx="601980" cy="662940"/>
            <wp:effectExtent l="0" t="0" r="0" b="0"/>
            <wp:docPr id="5" name="image1.png" descr="https://lh4.googleusercontent.com/LbvbI4-WOusMTSGPRlwZECGvH4YkewoN6mGZpDXPztsMug-TBGhjP02W5_aUWA99pe7UfoxDJOqgnNo6TTIuk7FBN1i5lNGMJ2WcrEWBQvGwfALgiYdglo-Nn3srmM9eT-plcZle0UQ"/>
            <wp:cNvGraphicFramePr/>
            <a:graphic xmlns:a="http://schemas.openxmlformats.org/drawingml/2006/main">
              <a:graphicData uri="http://schemas.openxmlformats.org/drawingml/2006/picture">
                <pic:pic xmlns:pic="http://schemas.openxmlformats.org/drawingml/2006/picture">
                  <pic:nvPicPr>
                    <pic:cNvPr id="0" name="image1.png" descr="https://lh4.googleusercontent.com/LbvbI4-WOusMTSGPRlwZECGvH4YkewoN6mGZpDXPztsMug-TBGhjP02W5_aUWA99pe7UfoxDJOqgnNo6TTIuk7FBN1i5lNGMJ2WcrEWBQvGwfALgiYdglo-Nn3srmM9eT-plcZle0UQ"/>
                    <pic:cNvPicPr preferRelativeResize="0"/>
                  </pic:nvPicPr>
                  <pic:blipFill>
                    <a:blip r:embed="rId9"/>
                    <a:srcRect/>
                    <a:stretch>
                      <a:fillRect/>
                    </a:stretch>
                  </pic:blipFill>
                  <pic:spPr>
                    <a:xfrm>
                      <a:off x="0" y="0"/>
                      <a:ext cx="601980" cy="662940"/>
                    </a:xfrm>
                    <a:prstGeom prst="rect">
                      <a:avLst/>
                    </a:prstGeom>
                    <a:ln/>
                  </pic:spPr>
                </pic:pic>
              </a:graphicData>
            </a:graphic>
          </wp:inline>
        </w:drawing>
      </w:r>
    </w:p>
    <w:p w:rsidR="00924541" w:rsidRDefault="00924541">
      <w:pPr>
        <w:pBdr>
          <w:top w:val="nil"/>
          <w:left w:val="nil"/>
          <w:bottom w:val="nil"/>
          <w:right w:val="nil"/>
          <w:between w:val="nil"/>
        </w:pBdr>
        <w:spacing w:after="0" w:line="240" w:lineRule="auto"/>
        <w:ind w:left="5670"/>
        <w:jc w:val="both"/>
        <w:rPr>
          <w:rFonts w:ascii="Times New Roman" w:eastAsia="Times New Roman" w:hAnsi="Times New Roman" w:cs="Times New Roman"/>
          <w:color w:val="000000"/>
        </w:rPr>
      </w:pPr>
    </w:p>
    <w:tbl>
      <w:tblPr>
        <w:tblStyle w:val="afa"/>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201"/>
      </w:tblGrid>
      <w:tr w:rsidR="00924541">
        <w:trPr>
          <w:jc w:val="center"/>
        </w:trPr>
        <w:tc>
          <w:tcPr>
            <w:tcW w:w="10201" w:type="dxa"/>
            <w:shd w:val="clear" w:color="auto" w:fill="E7E6E6"/>
            <w:vAlign w:val="center"/>
          </w:tcPr>
          <w:p w:rsidR="00924541" w:rsidRDefault="005B26BB">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8"/>
                <w:szCs w:val="28"/>
              </w:rPr>
              <w:t>ПРИВАТНИЙ ВИЩИЙ НАВЧАЛЬНИЙ ЗАКЛАД</w:t>
            </w:r>
          </w:p>
          <w:p w:rsidR="00924541" w:rsidRDefault="005B26BB">
            <w:pPr>
              <w:pBdr>
                <w:top w:val="nil"/>
                <w:left w:val="nil"/>
                <w:bottom w:val="nil"/>
                <w:right w:val="nil"/>
                <w:between w:val="nil"/>
              </w:pBdr>
              <w:jc w:val="center"/>
              <w:rPr>
                <w:rFonts w:ascii="Times New Roman" w:eastAsia="Times New Roman" w:hAnsi="Times New Roman" w:cs="Times New Roman"/>
                <w:b/>
                <w:bCs/>
                <w:color w:val="000000"/>
                <w:sz w:val="24"/>
                <w:szCs w:val="24"/>
              </w:rPr>
            </w:pPr>
            <w:r>
              <w:rPr>
                <w:rFonts w:ascii="Times New Roman" w:eastAsia="Times New Roman" w:hAnsi="Times New Roman" w:cs="Times New Roman"/>
                <w:b/>
                <w:bCs/>
                <w:color w:val="000000"/>
                <w:sz w:val="28"/>
                <w:szCs w:val="28"/>
              </w:rPr>
              <w:t>«КИЇВСЬКИЙ МЕДИЧНИЙ УНІВЕРСИТЕТ»</w:t>
            </w:r>
          </w:p>
        </w:tc>
      </w:tr>
      <w:tr w:rsidR="00924541">
        <w:trPr>
          <w:jc w:val="center"/>
        </w:trPr>
        <w:tc>
          <w:tcPr>
            <w:tcW w:w="10201" w:type="dxa"/>
            <w:shd w:val="clear" w:color="auto" w:fill="E7E6E6"/>
            <w:vAlign w:val="center"/>
          </w:tcPr>
          <w:p w:rsidR="00924541" w:rsidRDefault="005B26BB">
            <w:pPr>
              <w:jc w:val="center"/>
              <w:rPr>
                <w:rFonts w:ascii="Times New Roman" w:eastAsia="Times New Roman" w:hAnsi="Times New Roman" w:cs="Times New Roman"/>
                <w:b/>
                <w:bCs/>
              </w:rPr>
            </w:pPr>
            <w:r>
              <w:rPr>
                <w:rFonts w:ascii="Times New Roman" w:eastAsia="Times New Roman" w:hAnsi="Times New Roman" w:cs="Times New Roman"/>
                <w:b/>
                <w:bCs/>
                <w:color w:val="000000"/>
                <w:sz w:val="28"/>
                <w:szCs w:val="28"/>
              </w:rPr>
              <w:t>СИЛАБУС</w:t>
            </w:r>
          </w:p>
        </w:tc>
      </w:tr>
      <w:tr w:rsidR="00924541">
        <w:trPr>
          <w:jc w:val="center"/>
        </w:trPr>
        <w:tc>
          <w:tcPr>
            <w:tcW w:w="10201" w:type="dxa"/>
            <w:shd w:val="clear" w:color="auto" w:fill="E7E6E6"/>
            <w:vAlign w:val="center"/>
          </w:tcPr>
          <w:p w:rsidR="00924541" w:rsidRDefault="005B26BB">
            <w:pPr>
              <w:jc w:val="center"/>
              <w:rPr>
                <w:rFonts w:ascii="Times New Roman" w:eastAsia="Times New Roman" w:hAnsi="Times New Roman" w:cs="Times New Roman"/>
                <w:b/>
                <w:bCs/>
              </w:rPr>
            </w:pPr>
            <w:r>
              <w:rPr>
                <w:rFonts w:ascii="Times New Roman" w:eastAsia="Times New Roman" w:hAnsi="Times New Roman" w:cs="Times New Roman"/>
                <w:b/>
                <w:bCs/>
                <w:color w:val="000000"/>
                <w:sz w:val="28"/>
                <w:szCs w:val="28"/>
              </w:rPr>
              <w:t>Англійська мова за професійним спрямуванням</w:t>
            </w:r>
          </w:p>
        </w:tc>
      </w:tr>
    </w:tbl>
    <w:p w:rsidR="00924541" w:rsidRDefault="00924541">
      <w:pPr>
        <w:spacing w:line="240" w:lineRule="auto"/>
        <w:rPr>
          <w:rFonts w:ascii="Times New Roman" w:eastAsia="Times New Roman" w:hAnsi="Times New Roman" w:cs="Times New Roman"/>
        </w:rPr>
      </w:pPr>
    </w:p>
    <w:tbl>
      <w:tblPr>
        <w:tblStyle w:val="afb"/>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7"/>
        <w:gridCol w:w="7144"/>
      </w:tblGrid>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Галузь знань</w:t>
            </w:r>
          </w:p>
        </w:tc>
        <w:tc>
          <w:tcPr>
            <w:tcW w:w="7144"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І «Охорона здоров’я та соціальне забезпечення» </w:t>
            </w:r>
          </w:p>
        </w:tc>
      </w:tr>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Спеціальність</w:t>
            </w:r>
          </w:p>
        </w:tc>
        <w:tc>
          <w:tcPr>
            <w:tcW w:w="7144"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12 «Медицина» (Медсестринство)</w:t>
            </w:r>
          </w:p>
        </w:tc>
      </w:tr>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Рівень вищої освіти</w:t>
            </w:r>
          </w:p>
        </w:tc>
        <w:tc>
          <w:tcPr>
            <w:tcW w:w="7144"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Другий (магістерський) рівень вищої освіти </w:t>
            </w:r>
          </w:p>
        </w:tc>
      </w:tr>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Форма здобуття освіти</w:t>
            </w:r>
          </w:p>
        </w:tc>
        <w:tc>
          <w:tcPr>
            <w:tcW w:w="7144"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Денна</w:t>
            </w:r>
          </w:p>
        </w:tc>
      </w:tr>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Навчальний рік</w:t>
            </w:r>
          </w:p>
        </w:tc>
        <w:tc>
          <w:tcPr>
            <w:tcW w:w="7144" w:type="dxa"/>
            <w:vAlign w:val="center"/>
          </w:tcPr>
          <w:p w:rsidR="00924541" w:rsidRDefault="00D33189">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uk-UA"/>
              </w:rPr>
              <w:t>6</w:t>
            </w:r>
            <w:r>
              <w:rPr>
                <w:rFonts w:ascii="Times New Roman" w:eastAsia="Times New Roman" w:hAnsi="Times New Roman" w:cs="Times New Roman"/>
                <w:sz w:val="24"/>
                <w:szCs w:val="24"/>
              </w:rPr>
              <w:t>-202</w:t>
            </w:r>
            <w:r>
              <w:rPr>
                <w:rFonts w:ascii="Times New Roman" w:eastAsia="Times New Roman" w:hAnsi="Times New Roman" w:cs="Times New Roman"/>
                <w:sz w:val="24"/>
                <w:szCs w:val="24"/>
                <w:lang w:val="uk-UA"/>
              </w:rPr>
              <w:t>7</w:t>
            </w:r>
            <w:r w:rsidR="005B26BB">
              <w:rPr>
                <w:rFonts w:ascii="Times New Roman" w:eastAsia="Times New Roman" w:hAnsi="Times New Roman" w:cs="Times New Roman"/>
                <w:sz w:val="24"/>
                <w:szCs w:val="24"/>
              </w:rPr>
              <w:t xml:space="preserve"> </w:t>
            </w:r>
          </w:p>
        </w:tc>
      </w:tr>
      <w:tr w:rsidR="00924541">
        <w:trPr>
          <w:jc w:val="center"/>
        </w:trPr>
        <w:tc>
          <w:tcPr>
            <w:tcW w:w="3057"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Семестр (семестри)</w:t>
            </w:r>
          </w:p>
        </w:tc>
        <w:tc>
          <w:tcPr>
            <w:tcW w:w="7144" w:type="dxa"/>
            <w:vAlign w:val="center"/>
          </w:tcPr>
          <w:p w:rsidR="00924541" w:rsidRPr="00B517BD" w:rsidRDefault="005B26BB">
            <w:pPr>
              <w:jc w:val="both"/>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1</w:t>
            </w:r>
            <w:r w:rsidR="00B517BD">
              <w:rPr>
                <w:rFonts w:ascii="Times New Roman" w:eastAsia="Times New Roman" w:hAnsi="Times New Roman" w:cs="Times New Roman"/>
                <w:sz w:val="24"/>
                <w:szCs w:val="24"/>
                <w:lang w:val="uk-UA"/>
              </w:rPr>
              <w:t>,2</w:t>
            </w:r>
          </w:p>
        </w:tc>
      </w:tr>
    </w:tbl>
    <w:p w:rsidR="00924541" w:rsidRDefault="00924541">
      <w:pPr>
        <w:spacing w:line="240" w:lineRule="auto"/>
        <w:rPr>
          <w:rFonts w:ascii="Times New Roman" w:eastAsia="Times New Roman" w:hAnsi="Times New Roman" w:cs="Times New Roman"/>
        </w:rPr>
      </w:pPr>
    </w:p>
    <w:tbl>
      <w:tblPr>
        <w:tblStyle w:val="afc"/>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52"/>
        <w:gridCol w:w="7149"/>
      </w:tblGrid>
      <w:tr w:rsidR="00924541">
        <w:trPr>
          <w:jc w:val="center"/>
        </w:trPr>
        <w:tc>
          <w:tcPr>
            <w:tcW w:w="10201" w:type="dxa"/>
            <w:gridSpan w:val="2"/>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Загальна інформація </w:t>
            </w:r>
          </w:p>
        </w:tc>
      </w:tr>
      <w:tr w:rsidR="00924541">
        <w:trPr>
          <w:jc w:val="center"/>
        </w:trPr>
        <w:tc>
          <w:tcPr>
            <w:tcW w:w="3052" w:type="dxa"/>
            <w:vMerge w:val="restart"/>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Кафедра</w:t>
            </w:r>
          </w:p>
        </w:tc>
        <w:tc>
          <w:tcPr>
            <w:tcW w:w="7149"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Кафедра соціально-гуманітарних дисциплін</w:t>
            </w:r>
          </w:p>
        </w:tc>
      </w:tr>
      <w:tr w:rsidR="00924541">
        <w:trPr>
          <w:jc w:val="center"/>
        </w:trPr>
        <w:tc>
          <w:tcPr>
            <w:tcW w:w="3052"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7149"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Завідувач Зеленцова Світлана Миколаївна, канд.істор. наук, доцент</w:t>
            </w:r>
          </w:p>
        </w:tc>
      </w:tr>
      <w:tr w:rsidR="00924541">
        <w:trPr>
          <w:jc w:val="center"/>
        </w:trPr>
        <w:tc>
          <w:tcPr>
            <w:tcW w:w="3052"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c>
          <w:tcPr>
            <w:tcW w:w="7149" w:type="dxa"/>
            <w:vAlign w:val="center"/>
          </w:tcPr>
          <w:p w:rsidR="00924541" w:rsidRDefault="005B26BB">
            <w:pPr>
              <w:pBdr>
                <w:top w:val="nil"/>
                <w:left w:val="nil"/>
                <w:bottom w:val="nil"/>
                <w:right w:val="nil"/>
                <w:between w:val="nil"/>
              </w:pBdr>
              <w:spacing w:after="0" w:line="24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Адреса: м. Київ, вул. Бориспільська, 2, 210 каб. </w:t>
            </w:r>
          </w:p>
        </w:tc>
      </w:tr>
      <w:tr w:rsidR="00924541">
        <w:trPr>
          <w:jc w:val="center"/>
        </w:trPr>
        <w:tc>
          <w:tcPr>
            <w:tcW w:w="3052"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24"/>
                <w:szCs w:val="24"/>
              </w:rPr>
            </w:pPr>
          </w:p>
        </w:tc>
        <w:tc>
          <w:tcPr>
            <w:tcW w:w="7149" w:type="dxa"/>
            <w:vAlign w:val="center"/>
          </w:tcPr>
          <w:p w:rsidR="00924541" w:rsidRDefault="008F0C23">
            <w:pPr>
              <w:jc w:val="both"/>
              <w:rPr>
                <w:rFonts w:ascii="Times New Roman" w:eastAsia="Times New Roman" w:hAnsi="Times New Roman" w:cs="Times New Roman"/>
                <w:sz w:val="24"/>
                <w:szCs w:val="24"/>
              </w:rPr>
            </w:pPr>
            <w:hyperlink r:id="rId10">
              <w:r w:rsidR="005B26BB">
                <w:rPr>
                  <w:rFonts w:ascii="Times New Roman" w:eastAsia="Times New Roman" w:hAnsi="Times New Roman" w:cs="Times New Roman"/>
                  <w:color w:val="0000FF"/>
                  <w:u w:val="single"/>
                </w:rPr>
                <w:t>https://kmu.edu.ua/kafedra-socialno-gumanitarnix-disciplin/</w:t>
              </w:r>
            </w:hyperlink>
            <w:r w:rsidR="005B26BB">
              <w:rPr>
                <w:rFonts w:ascii="Times New Roman" w:eastAsia="Times New Roman" w:hAnsi="Times New Roman" w:cs="Times New Roman"/>
                <w:color w:val="0000FF"/>
                <w:u w:val="single"/>
              </w:rPr>
              <w:t xml:space="preserve"> </w:t>
            </w:r>
          </w:p>
        </w:tc>
      </w:tr>
      <w:tr w:rsidR="00924541">
        <w:trPr>
          <w:jc w:val="center"/>
        </w:trPr>
        <w:tc>
          <w:tcPr>
            <w:tcW w:w="3052"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Викладач (викладачі)</w:t>
            </w:r>
          </w:p>
        </w:tc>
        <w:tc>
          <w:tcPr>
            <w:tcW w:w="7149" w:type="dxa"/>
            <w:vAlign w:val="center"/>
          </w:tcPr>
          <w:p w:rsidR="00B517BD" w:rsidRPr="00B92CB3" w:rsidRDefault="00B517BD">
            <w:pPr>
              <w:spacing w:after="0"/>
              <w:jc w:val="both"/>
              <w:rPr>
                <w:rFonts w:ascii="Times New Roman" w:eastAsia="Times New Roman" w:hAnsi="Times New Roman" w:cs="Times New Roman"/>
                <w:sz w:val="24"/>
                <w:szCs w:val="24"/>
                <w:lang w:val="uk-UA"/>
              </w:rPr>
            </w:pPr>
            <w:r w:rsidRPr="00B92CB3">
              <w:rPr>
                <w:rFonts w:ascii="Times New Roman" w:eastAsia="Times New Roman" w:hAnsi="Times New Roman" w:cs="Times New Roman"/>
                <w:sz w:val="24"/>
                <w:szCs w:val="24"/>
                <w:lang w:val="uk-UA"/>
              </w:rPr>
              <w:t>Віцюк Алла Анатоліївна</w:t>
            </w:r>
          </w:p>
          <w:p w:rsidR="00B517BD" w:rsidRPr="00B517BD" w:rsidRDefault="008F0C23">
            <w:pPr>
              <w:spacing w:after="0"/>
              <w:jc w:val="both"/>
              <w:rPr>
                <w:rFonts w:ascii="Times New Roman" w:eastAsia="Times New Roman" w:hAnsi="Times New Roman" w:cs="Times New Roman"/>
                <w:sz w:val="24"/>
                <w:szCs w:val="24"/>
                <w:lang w:val="uk-UA"/>
              </w:rPr>
            </w:pPr>
            <w:hyperlink r:id="rId11" w:history="1">
              <w:r w:rsidR="00B517BD" w:rsidRPr="00B92CB3">
                <w:rPr>
                  <w:rStyle w:val="a7"/>
                  <w:rFonts w:ascii="Times New Roman" w:eastAsia="Times New Roman" w:hAnsi="Times New Roman" w:cs="Times New Roman"/>
                  <w:color w:val="auto"/>
                  <w:sz w:val="24"/>
                  <w:szCs w:val="24"/>
                  <w:u w:val="none"/>
                  <w:lang w:val="en-US"/>
                </w:rPr>
                <w:t>a</w:t>
              </w:r>
              <w:r w:rsidR="00B517BD" w:rsidRPr="00B92CB3">
                <w:rPr>
                  <w:rStyle w:val="a7"/>
                  <w:rFonts w:ascii="Times New Roman" w:eastAsia="Times New Roman" w:hAnsi="Times New Roman" w:cs="Times New Roman"/>
                  <w:color w:val="auto"/>
                  <w:sz w:val="24"/>
                  <w:szCs w:val="24"/>
                  <w:u w:val="none"/>
                  <w:lang w:val="uk-UA"/>
                </w:rPr>
                <w:t>.</w:t>
              </w:r>
              <w:r w:rsidR="00B517BD" w:rsidRPr="00B92CB3">
                <w:rPr>
                  <w:rStyle w:val="a7"/>
                  <w:rFonts w:ascii="Times New Roman" w:eastAsia="Times New Roman" w:hAnsi="Times New Roman" w:cs="Times New Roman"/>
                  <w:color w:val="auto"/>
                  <w:sz w:val="24"/>
                  <w:szCs w:val="24"/>
                  <w:u w:val="none"/>
                  <w:lang w:val="en-US"/>
                </w:rPr>
                <w:t>vitsiuk</w:t>
              </w:r>
              <w:r w:rsidR="00B517BD" w:rsidRPr="00B92CB3">
                <w:rPr>
                  <w:rStyle w:val="a7"/>
                  <w:rFonts w:ascii="Times New Roman" w:eastAsia="Times New Roman" w:hAnsi="Times New Roman" w:cs="Times New Roman"/>
                  <w:color w:val="auto"/>
                  <w:sz w:val="24"/>
                  <w:szCs w:val="24"/>
                  <w:u w:val="none"/>
                  <w:lang w:val="uk-UA"/>
                </w:rPr>
                <w:t>@</w:t>
              </w:r>
              <w:r w:rsidR="00B517BD" w:rsidRPr="00B92CB3">
                <w:rPr>
                  <w:rStyle w:val="a7"/>
                  <w:rFonts w:ascii="Times New Roman" w:eastAsia="Times New Roman" w:hAnsi="Times New Roman" w:cs="Times New Roman"/>
                  <w:color w:val="auto"/>
                  <w:sz w:val="24"/>
                  <w:szCs w:val="24"/>
                  <w:u w:val="none"/>
                  <w:lang w:val="en-US"/>
                </w:rPr>
                <w:t>kmu</w:t>
              </w:r>
              <w:r w:rsidR="00B517BD" w:rsidRPr="00B92CB3">
                <w:rPr>
                  <w:rStyle w:val="a7"/>
                  <w:rFonts w:ascii="Times New Roman" w:eastAsia="Times New Roman" w:hAnsi="Times New Roman" w:cs="Times New Roman"/>
                  <w:color w:val="auto"/>
                  <w:sz w:val="24"/>
                  <w:szCs w:val="24"/>
                  <w:u w:val="none"/>
                  <w:lang w:val="uk-UA"/>
                </w:rPr>
                <w:t>.</w:t>
              </w:r>
              <w:r w:rsidR="00B517BD" w:rsidRPr="00B92CB3">
                <w:rPr>
                  <w:rStyle w:val="a7"/>
                  <w:rFonts w:ascii="Times New Roman" w:eastAsia="Times New Roman" w:hAnsi="Times New Roman" w:cs="Times New Roman"/>
                  <w:color w:val="auto"/>
                  <w:sz w:val="24"/>
                  <w:szCs w:val="24"/>
                  <w:u w:val="none"/>
                  <w:lang w:val="en-US"/>
                </w:rPr>
                <w:t>edu</w:t>
              </w:r>
              <w:r w:rsidR="00B517BD" w:rsidRPr="00B92CB3">
                <w:rPr>
                  <w:rStyle w:val="a7"/>
                  <w:rFonts w:ascii="Times New Roman" w:eastAsia="Times New Roman" w:hAnsi="Times New Roman" w:cs="Times New Roman"/>
                  <w:color w:val="auto"/>
                  <w:sz w:val="24"/>
                  <w:szCs w:val="24"/>
                  <w:u w:val="none"/>
                  <w:lang w:val="uk-UA"/>
                </w:rPr>
                <w:t>.</w:t>
              </w:r>
              <w:proofErr w:type="spellStart"/>
              <w:r w:rsidR="00B517BD" w:rsidRPr="00B92CB3">
                <w:rPr>
                  <w:rStyle w:val="a7"/>
                  <w:rFonts w:ascii="Times New Roman" w:eastAsia="Times New Roman" w:hAnsi="Times New Roman" w:cs="Times New Roman"/>
                  <w:color w:val="auto"/>
                  <w:sz w:val="24"/>
                  <w:szCs w:val="24"/>
                  <w:u w:val="none"/>
                  <w:lang w:val="en-US"/>
                </w:rPr>
                <w:t>ua</w:t>
              </w:r>
              <w:proofErr w:type="spellEnd"/>
            </w:hyperlink>
            <w:r w:rsidR="00B517BD" w:rsidRPr="00B517BD">
              <w:rPr>
                <w:rFonts w:ascii="Times New Roman" w:eastAsia="Times New Roman" w:hAnsi="Times New Roman" w:cs="Times New Roman"/>
                <w:sz w:val="24"/>
                <w:szCs w:val="24"/>
                <w:lang w:val="uk-UA"/>
              </w:rPr>
              <w:t xml:space="preserve"> </w:t>
            </w:r>
          </w:p>
        </w:tc>
      </w:tr>
      <w:tr w:rsidR="00924541" w:rsidTr="009A1032">
        <w:trPr>
          <w:trHeight w:val="949"/>
          <w:jc w:val="center"/>
        </w:trPr>
        <w:tc>
          <w:tcPr>
            <w:tcW w:w="3052"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Портфоліо викладача</w:t>
            </w:r>
          </w:p>
        </w:tc>
        <w:tc>
          <w:tcPr>
            <w:tcW w:w="7149" w:type="dxa"/>
            <w:vAlign w:val="center"/>
          </w:tcPr>
          <w:p w:rsidR="009A1032" w:rsidRPr="000F2B5B" w:rsidRDefault="008F0C23">
            <w:pPr>
              <w:jc w:val="both"/>
              <w:rPr>
                <w:rFonts w:ascii="Times New Roman" w:hAnsi="Times New Roman" w:cs="Times New Roman"/>
                <w:sz w:val="24"/>
                <w:lang w:val="uk-UA"/>
              </w:rPr>
            </w:pPr>
            <w:hyperlink r:id="rId12">
              <w:r w:rsidR="005B26BB" w:rsidRPr="000F2B5B">
                <w:rPr>
                  <w:rFonts w:ascii="Times New Roman" w:hAnsi="Times New Roman" w:cs="Times New Roman"/>
                  <w:sz w:val="24"/>
                </w:rPr>
                <w:t>https://kmu.edu.ua/kafedra-socialno-gumanitarnix-disciplin/</w:t>
              </w:r>
            </w:hyperlink>
          </w:p>
          <w:p w:rsidR="009A1032" w:rsidRPr="009A1032" w:rsidRDefault="009A1032">
            <w:pPr>
              <w:jc w:val="both"/>
              <w:rPr>
                <w:color w:val="0563C1"/>
                <w:u w:val="single"/>
                <w:lang w:val="uk-UA"/>
              </w:rPr>
            </w:pPr>
            <w:r w:rsidRPr="009A1032">
              <w:rPr>
                <w:rFonts w:ascii="Times New Roman" w:eastAsia="Times New Roman" w:hAnsi="Times New Roman" w:cs="Times New Roman"/>
                <w:sz w:val="24"/>
                <w:szCs w:val="24"/>
                <w:lang w:val="uk-UA"/>
              </w:rPr>
              <w:t>https://docs.google.com/presentation/d/1C3OTBQsMtrF7UtWy5voKuTD1ui4vy9Fc/edit</w:t>
            </w:r>
          </w:p>
        </w:tc>
      </w:tr>
      <w:tr w:rsidR="00924541">
        <w:trPr>
          <w:jc w:val="center"/>
        </w:trPr>
        <w:tc>
          <w:tcPr>
            <w:tcW w:w="3052" w:type="dxa"/>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Консультації</w:t>
            </w:r>
          </w:p>
        </w:tc>
        <w:tc>
          <w:tcPr>
            <w:tcW w:w="7149" w:type="dxa"/>
            <w:vAlign w:val="center"/>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Консультації проводяться викладачем кафедри, який закріплений за академічною групою відповідно до розподілу педагогічного навантаження. </w:t>
            </w:r>
          </w:p>
        </w:tc>
      </w:tr>
    </w:tbl>
    <w:p w:rsidR="00924541" w:rsidRDefault="00924541">
      <w:pPr>
        <w:spacing w:line="240" w:lineRule="auto"/>
        <w:rPr>
          <w:rFonts w:ascii="Times New Roman" w:eastAsia="Times New Roman" w:hAnsi="Times New Roman" w:cs="Times New Roman"/>
        </w:rPr>
      </w:pPr>
    </w:p>
    <w:tbl>
      <w:tblPr>
        <w:tblStyle w:val="afd"/>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2"/>
        <w:gridCol w:w="1049"/>
        <w:gridCol w:w="8"/>
        <w:gridCol w:w="3427"/>
        <w:gridCol w:w="2110"/>
        <w:gridCol w:w="1645"/>
      </w:tblGrid>
      <w:tr w:rsidR="00924541">
        <w:trPr>
          <w:jc w:val="center"/>
        </w:trPr>
        <w:tc>
          <w:tcPr>
            <w:tcW w:w="10201" w:type="dxa"/>
            <w:gridSpan w:val="6"/>
            <w:shd w:val="clear" w:color="auto" w:fill="E7E6E6"/>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Загальна характеристика освітнього компонента</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Анотація</w:t>
            </w:r>
          </w:p>
        </w:tc>
        <w:tc>
          <w:tcPr>
            <w:tcW w:w="7182" w:type="dxa"/>
            <w:gridSpan w:val="3"/>
          </w:tcPr>
          <w:p w:rsidR="00924541" w:rsidRDefault="005B26BB" w:rsidP="00D33189">
            <w:pPr>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Освітній компонент «</w:t>
            </w:r>
            <w:r w:rsidR="00D33189">
              <w:rPr>
                <w:rFonts w:ascii="Times New Roman" w:eastAsia="Times New Roman" w:hAnsi="Times New Roman" w:cs="Times New Roman"/>
                <w:color w:val="00000A"/>
                <w:sz w:val="24"/>
                <w:szCs w:val="24"/>
                <w:lang w:val="uk-UA"/>
              </w:rPr>
              <w:t>Англійська мова за професійним спрямуванням</w:t>
            </w:r>
            <w:r>
              <w:rPr>
                <w:rFonts w:ascii="Times New Roman" w:eastAsia="Times New Roman" w:hAnsi="Times New Roman" w:cs="Times New Roman"/>
                <w:color w:val="00000A"/>
                <w:sz w:val="24"/>
                <w:szCs w:val="24"/>
              </w:rPr>
              <w:t>» розвиває навички спілкування іноземною мовою у здобувачів освіти-медиків, приділяючи особливу увагу медичним темам та професійному володінню мовою. Курс забезпечує доступ до основних ресурсів, включаючи підручники та навчальні посібники як для аудиторного, так і для самостійного навчання. Дисципліна знайомить із медичною термінологією, яка є основою для успішного виконання субтесту з тестових завдань першого етапу єдиного державного кваліфікаційного іспиту: іспиту з англійської мови професійного спрямування, а також у навчальному процесі та у професійній діяльності. Ці компетенції підтримують академічний прогрес та професійну практику у сфері охорони здоров'я.</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Мета та цілі </w:t>
            </w:r>
          </w:p>
        </w:tc>
        <w:tc>
          <w:tcPr>
            <w:tcW w:w="7182" w:type="dxa"/>
            <w:gridSpan w:val="3"/>
          </w:tcPr>
          <w:p w:rsidR="00924541" w:rsidRDefault="005B26BB">
            <w:pPr>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Метою курсу "</w:t>
            </w:r>
            <w:r w:rsidR="00D33189">
              <w:rPr>
                <w:rFonts w:ascii="Times New Roman" w:eastAsia="Times New Roman" w:hAnsi="Times New Roman" w:cs="Times New Roman"/>
                <w:color w:val="00000A"/>
                <w:sz w:val="24"/>
                <w:szCs w:val="24"/>
                <w:lang w:val="uk-UA"/>
              </w:rPr>
              <w:t xml:space="preserve"> Англійська мова за професійним спрямуванням</w:t>
            </w:r>
            <w:r w:rsidR="00D33189">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 є розвиток у студентів навичок іншомовного спілкування та розв’язування </w:t>
            </w:r>
            <w:r>
              <w:rPr>
                <w:rFonts w:ascii="Times New Roman" w:eastAsia="Times New Roman" w:hAnsi="Times New Roman" w:cs="Times New Roman"/>
                <w:color w:val="00000A"/>
                <w:sz w:val="24"/>
                <w:szCs w:val="24"/>
              </w:rPr>
              <w:t>тестових завдань першого етапу єдиного державного кваліфікаційного іспиту: іспиту з англійської мови професійного спрямування</w:t>
            </w:r>
            <w:r>
              <w:rPr>
                <w:rFonts w:ascii="Times New Roman" w:eastAsia="Times New Roman" w:hAnsi="Times New Roman" w:cs="Times New Roman"/>
                <w:color w:val="000000"/>
                <w:sz w:val="24"/>
                <w:szCs w:val="24"/>
              </w:rPr>
              <w:t xml:space="preserve">. Він фокусується на медичних темах, викладених у навчальній програмі, забезпечуючи поглиблене, професійноорієнтоване володіння спеціалізованою медичною англійською мовою. Основними завданнями курсу є : - здійснювати спілкування в межах сфер, тем і ситуацій, визначених чинною навчальною програмою; - розуміти на слух зміст автентичних фахових текстів; - читати і розуміти автентичні тексти різних жанрів і видів із різним рівнем розуміння змісту; - здійснювати професійне спілкування у письмовій формі відповідно до поставлених завдань; - виконувати тестові завдання </w:t>
            </w:r>
            <w:r>
              <w:rPr>
                <w:rFonts w:ascii="Times New Roman" w:eastAsia="Times New Roman" w:hAnsi="Times New Roman" w:cs="Times New Roman"/>
                <w:color w:val="00000A"/>
                <w:sz w:val="24"/>
                <w:szCs w:val="24"/>
              </w:rPr>
              <w:t>першого етапу єдиного державного кваліфікаційного іспиту: іспиту з англійської мови професійного спрямування</w:t>
            </w:r>
            <w:r>
              <w:rPr>
                <w:rFonts w:ascii="Times New Roman" w:eastAsia="Times New Roman" w:hAnsi="Times New Roman" w:cs="Times New Roman"/>
                <w:color w:val="000000"/>
                <w:sz w:val="24"/>
                <w:szCs w:val="24"/>
              </w:rPr>
              <w:t xml:space="preserve">  -критично оцінювати інформацію та використовувати її для різних потреб</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Вид </w:t>
            </w:r>
          </w:p>
        </w:tc>
        <w:tc>
          <w:tcPr>
            <w:tcW w:w="7182" w:type="dxa"/>
            <w:gridSpan w:val="3"/>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Вибірковий освітній компонент</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Передумови вивчення </w:t>
            </w:r>
          </w:p>
        </w:tc>
        <w:tc>
          <w:tcPr>
            <w:tcW w:w="7182" w:type="dxa"/>
            <w:gridSpan w:val="3"/>
          </w:tcPr>
          <w:p w:rsidR="00924541" w:rsidRDefault="005B26BB">
            <w:pPr>
              <w:widowControl w:val="0"/>
              <w:pBdr>
                <w:top w:val="nil"/>
                <w:left w:val="nil"/>
                <w:bottom w:val="nil"/>
                <w:right w:val="nil"/>
                <w:between w:val="nil"/>
              </w:pBdr>
              <w:tabs>
                <w:tab w:val="left" w:pos="821"/>
              </w:tabs>
              <w:spacing w:after="0"/>
              <w:ind w:right="84"/>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Курс «</w:t>
            </w:r>
            <w:r w:rsidR="00D33189">
              <w:rPr>
                <w:rFonts w:ascii="Times New Roman" w:eastAsia="Times New Roman" w:hAnsi="Times New Roman" w:cs="Times New Roman"/>
                <w:color w:val="00000A"/>
                <w:sz w:val="24"/>
                <w:szCs w:val="24"/>
                <w:lang w:val="uk-UA"/>
              </w:rPr>
              <w:t>Англійська мова за професійним спрямуванням</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A"/>
                <w:sz w:val="24"/>
                <w:szCs w:val="24"/>
              </w:rPr>
              <w:t xml:space="preserve">ґрунтується на вивченні студентами лексико-граматичного та фахового матеріалу англійською мовою та інтегрується із дисциплінами біохімія та молекулярна біологія, нормальна анатомія, фізіологія, генетика, гістологія, фармакологія, мікробіологія, імунологія, статистика, латинська мова та </w:t>
            </w:r>
            <w:r>
              <w:rPr>
                <w:rFonts w:ascii="Times New Roman" w:eastAsia="Times New Roman" w:hAnsi="Times New Roman" w:cs="Times New Roman"/>
                <w:sz w:val="24"/>
                <w:szCs w:val="24"/>
              </w:rPr>
              <w:t>безпека життєдіяльності, основи біоетики та біобезпеки</w:t>
            </w:r>
            <w:r>
              <w:rPr>
                <w:rFonts w:ascii="Times New Roman" w:eastAsia="Times New Roman" w:hAnsi="Times New Roman" w:cs="Times New Roman"/>
                <w:color w:val="00000A"/>
                <w:sz w:val="24"/>
                <w:szCs w:val="24"/>
              </w:rPr>
              <w:t>.</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Матеріально-технічне забезпечення</w:t>
            </w:r>
          </w:p>
        </w:tc>
        <w:tc>
          <w:tcPr>
            <w:tcW w:w="7182" w:type="dxa"/>
            <w:gridSpan w:val="3"/>
          </w:tcPr>
          <w:p w:rsidR="00924541" w:rsidRDefault="005B26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Мультимедійні засоби навчання</w:t>
            </w:r>
          </w:p>
          <w:p w:rsidR="00924541" w:rsidRDefault="005B26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Комп'ютерні презентації </w:t>
            </w:r>
          </w:p>
          <w:p w:rsidR="00924541" w:rsidRDefault="005B26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Ілюстративні матеріали</w:t>
            </w:r>
          </w:p>
          <w:p w:rsidR="00924541" w:rsidRDefault="005B26B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Навчальні таблиці</w:t>
            </w:r>
          </w:p>
          <w:p w:rsidR="00924541" w:rsidRDefault="005B26BB">
            <w:p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Словники</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Інші вимоги до здобувачів освіти</w:t>
            </w:r>
          </w:p>
        </w:tc>
        <w:tc>
          <w:tcPr>
            <w:tcW w:w="7182" w:type="dxa"/>
            <w:gridSpan w:val="3"/>
          </w:tcPr>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На навчальних заняттях здобувач освіти має бути одягнений в медичну форму (медичний халат, хірургічний костюм тощо) та змінне взуття;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ab/>
              <w:t xml:space="preserve">мати чистий одяг та взуття;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мати зачіску з охайним виглядом, акуратно заправленим під медичну шапочку, чисті руки з коротко підстриженими нігтями. </w:t>
            </w:r>
          </w:p>
          <w:p w:rsidR="00924541"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У разі змішаної форми навчання, вводяться додаткові правила: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здобувач освіти повинен підʼєднуватись до занять в охайному одязі;</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у приміщенні, з якого здобувач освіти приєднується до класу через відео зв’язок має бути достатнє освітлення та відсутні зайві відволікаючі звуки.</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color w:val="000000"/>
                <w:sz w:val="24"/>
                <w:szCs w:val="24"/>
              </w:rPr>
              <w:t xml:space="preserve">Здобувач освіти повинен мати </w:t>
            </w:r>
            <w:r>
              <w:rPr>
                <w:rFonts w:ascii="Times New Roman" w:eastAsia="Times New Roman" w:hAnsi="Times New Roman" w:cs="Times New Roman"/>
                <w:color w:val="000000"/>
              </w:rPr>
              <w:t>робочий зошит, ноутбук або інший пристрій з підключенням до мережі інтернету (телефон, планшет тощо), корпоративну електронну адресу.</w:t>
            </w:r>
          </w:p>
        </w:tc>
      </w:tr>
      <w:tr w:rsidR="00924541">
        <w:trPr>
          <w:jc w:val="center"/>
        </w:trPr>
        <w:tc>
          <w:tcPr>
            <w:tcW w:w="3019" w:type="dxa"/>
            <w:gridSpan w:val="3"/>
            <w:shd w:val="clear" w:color="auto" w:fill="E7E6E6"/>
            <w:vAlign w:val="center"/>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Інформація для осіб з особливими освітніми потребами</w:t>
            </w:r>
          </w:p>
        </w:tc>
        <w:tc>
          <w:tcPr>
            <w:tcW w:w="7182" w:type="dxa"/>
            <w:gridSpan w:val="3"/>
          </w:tcPr>
          <w:p w:rsidR="00924541" w:rsidRDefault="005B26BB">
            <w:pPr>
              <w:spacing w:after="0" w:line="240" w:lineRule="auto"/>
              <w:ind w:firstLine="720"/>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t xml:space="preserve">При наявності особливих освітніх потреб здобувач освіти до початку вивчення цього освітнього компонента має звернутись </w:t>
            </w:r>
            <w:r w:rsidR="00C36E38">
              <w:rPr>
                <w:rFonts w:ascii="Times New Roman" w:eastAsia="Times New Roman" w:hAnsi="Times New Roman" w:cs="Times New Roman"/>
                <w:sz w:val="24"/>
                <w:szCs w:val="24"/>
              </w:rPr>
              <w:t>до завідувача кафедри Зеленцово</w:t>
            </w:r>
            <w:r w:rsidR="00C36E38">
              <w:rPr>
                <w:rFonts w:ascii="Times New Roman" w:eastAsia="Times New Roman" w:hAnsi="Times New Roman" w:cs="Times New Roman"/>
                <w:sz w:val="24"/>
                <w:szCs w:val="24"/>
                <w:lang w:val="uk-UA"/>
              </w:rPr>
              <w:t>ї</w:t>
            </w:r>
            <w:r>
              <w:rPr>
                <w:rFonts w:ascii="Times New Roman" w:eastAsia="Times New Roman" w:hAnsi="Times New Roman" w:cs="Times New Roman"/>
                <w:sz w:val="24"/>
                <w:szCs w:val="24"/>
              </w:rPr>
              <w:t xml:space="preserve"> Світлани Миколаївни </w:t>
            </w:r>
            <w:hyperlink r:id="rId13">
              <w:r>
                <w:rPr>
                  <w:rFonts w:ascii="Times New Roman" w:eastAsia="Times New Roman" w:hAnsi="Times New Roman" w:cs="Times New Roman"/>
                  <w:color w:val="1155CC"/>
                  <w:sz w:val="24"/>
                  <w:szCs w:val="24"/>
                  <w:u w:val="single"/>
                </w:rPr>
                <w:t>s.zelenshova@kmu.edu.ua</w:t>
              </w:r>
            </w:hyperlink>
            <w:r>
              <w:rPr>
                <w:rFonts w:ascii="Times New Roman" w:eastAsia="Times New Roman" w:hAnsi="Times New Roman" w:cs="Times New Roman"/>
                <w:sz w:val="24"/>
                <w:szCs w:val="24"/>
              </w:rPr>
              <w:t xml:space="preserve">  та до деканату відповідного факультету</w:t>
            </w:r>
          </w:p>
        </w:tc>
      </w:tr>
      <w:tr w:rsidR="00924541">
        <w:trPr>
          <w:jc w:val="center"/>
        </w:trPr>
        <w:tc>
          <w:tcPr>
            <w:tcW w:w="10201" w:type="dxa"/>
            <w:gridSpan w:val="6"/>
            <w:shd w:val="clear" w:color="auto" w:fill="EEECE1"/>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Обсяг освітнього компонента</w:t>
            </w:r>
          </w:p>
        </w:tc>
      </w:tr>
      <w:tr w:rsidR="00924541">
        <w:trPr>
          <w:jc w:val="center"/>
        </w:trPr>
        <w:tc>
          <w:tcPr>
            <w:tcW w:w="1962" w:type="dxa"/>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Загальний</w:t>
            </w:r>
          </w:p>
        </w:tc>
        <w:tc>
          <w:tcPr>
            <w:tcW w:w="1049" w:type="dxa"/>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Лекції</w:t>
            </w:r>
          </w:p>
        </w:tc>
        <w:tc>
          <w:tcPr>
            <w:tcW w:w="3435" w:type="dxa"/>
            <w:gridSpan w:val="2"/>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Практичні/лабораторні/</w:t>
            </w:r>
          </w:p>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семінарські заняття</w:t>
            </w:r>
          </w:p>
        </w:tc>
        <w:tc>
          <w:tcPr>
            <w:tcW w:w="2110" w:type="dxa"/>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Самостійна робота</w:t>
            </w:r>
          </w:p>
        </w:tc>
        <w:tc>
          <w:tcPr>
            <w:tcW w:w="1645" w:type="dxa"/>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Вид підсумкового контролю</w:t>
            </w:r>
          </w:p>
        </w:tc>
      </w:tr>
      <w:tr w:rsidR="00924541">
        <w:trPr>
          <w:jc w:val="center"/>
        </w:trPr>
        <w:tc>
          <w:tcPr>
            <w:tcW w:w="1962" w:type="dxa"/>
            <w:vAlign w:val="center"/>
          </w:tcPr>
          <w:p w:rsidR="00924541" w:rsidRPr="001922F5" w:rsidRDefault="005B26BB" w:rsidP="00B517BD">
            <w:pPr>
              <w:jc w:val="center"/>
              <w:rPr>
                <w:rFonts w:ascii="Times New Roman" w:eastAsia="Times New Roman" w:hAnsi="Times New Roman" w:cs="Times New Roman"/>
                <w:sz w:val="24"/>
                <w:szCs w:val="24"/>
                <w:lang w:val="uk-UA"/>
              </w:rPr>
            </w:pPr>
            <w:r w:rsidRPr="001922F5">
              <w:rPr>
                <w:rFonts w:ascii="Times New Roman" w:eastAsia="Times New Roman" w:hAnsi="Times New Roman" w:cs="Times New Roman"/>
                <w:sz w:val="24"/>
                <w:szCs w:val="24"/>
              </w:rPr>
              <w:t xml:space="preserve">Академічних годин: </w:t>
            </w:r>
            <w:r w:rsidR="001922F5" w:rsidRPr="001922F5">
              <w:rPr>
                <w:rFonts w:ascii="Times New Roman" w:eastAsia="Times New Roman" w:hAnsi="Times New Roman" w:cs="Times New Roman"/>
                <w:sz w:val="24"/>
                <w:szCs w:val="24"/>
                <w:lang w:val="en-US"/>
              </w:rPr>
              <w:t>9</w:t>
            </w:r>
            <w:r w:rsidR="001922F5" w:rsidRPr="001922F5">
              <w:rPr>
                <w:rFonts w:ascii="Times New Roman" w:eastAsia="Times New Roman" w:hAnsi="Times New Roman" w:cs="Times New Roman"/>
                <w:sz w:val="24"/>
                <w:szCs w:val="24"/>
                <w:lang w:val="uk-UA"/>
              </w:rPr>
              <w:t>0</w:t>
            </w:r>
          </w:p>
        </w:tc>
        <w:tc>
          <w:tcPr>
            <w:tcW w:w="1049" w:type="dxa"/>
            <w:vAlign w:val="center"/>
          </w:tcPr>
          <w:p w:rsidR="00924541" w:rsidRPr="001922F5" w:rsidRDefault="005B26BB">
            <w:pPr>
              <w:jc w:val="center"/>
              <w:rPr>
                <w:rFonts w:ascii="Times New Roman" w:eastAsia="Times New Roman" w:hAnsi="Times New Roman" w:cs="Times New Roman"/>
                <w:sz w:val="24"/>
                <w:szCs w:val="24"/>
              </w:rPr>
            </w:pPr>
            <w:r w:rsidRPr="001922F5">
              <w:rPr>
                <w:rFonts w:ascii="Times New Roman" w:eastAsia="Times New Roman" w:hAnsi="Times New Roman" w:cs="Times New Roman"/>
                <w:sz w:val="24"/>
                <w:szCs w:val="24"/>
              </w:rPr>
              <w:t>-</w:t>
            </w:r>
          </w:p>
        </w:tc>
        <w:tc>
          <w:tcPr>
            <w:tcW w:w="3435" w:type="dxa"/>
            <w:gridSpan w:val="2"/>
            <w:vAlign w:val="center"/>
          </w:tcPr>
          <w:p w:rsidR="00924541" w:rsidRPr="001922F5" w:rsidRDefault="00B517BD">
            <w:pPr>
              <w:jc w:val="center"/>
              <w:rPr>
                <w:rFonts w:ascii="Times New Roman" w:eastAsia="Times New Roman" w:hAnsi="Times New Roman" w:cs="Times New Roman"/>
                <w:sz w:val="24"/>
                <w:szCs w:val="24"/>
                <w:lang w:val="en-US"/>
              </w:rPr>
            </w:pPr>
            <w:r w:rsidRPr="001922F5">
              <w:rPr>
                <w:rFonts w:ascii="Times New Roman" w:eastAsia="Times New Roman" w:hAnsi="Times New Roman" w:cs="Times New Roman"/>
                <w:sz w:val="24"/>
                <w:szCs w:val="24"/>
                <w:lang w:val="en-US"/>
              </w:rPr>
              <w:t>44</w:t>
            </w:r>
          </w:p>
        </w:tc>
        <w:tc>
          <w:tcPr>
            <w:tcW w:w="2110" w:type="dxa"/>
            <w:vAlign w:val="center"/>
          </w:tcPr>
          <w:p w:rsidR="00924541" w:rsidRPr="001922F5" w:rsidRDefault="001922F5">
            <w:pPr>
              <w:jc w:val="center"/>
              <w:rPr>
                <w:rFonts w:ascii="Times New Roman" w:eastAsia="Times New Roman" w:hAnsi="Times New Roman" w:cs="Times New Roman"/>
                <w:color w:val="FF0000"/>
                <w:sz w:val="24"/>
                <w:szCs w:val="24"/>
                <w:lang w:val="uk-UA"/>
              </w:rPr>
            </w:pPr>
            <w:r w:rsidRPr="001922F5">
              <w:rPr>
                <w:rFonts w:ascii="Times New Roman" w:eastAsia="Times New Roman" w:hAnsi="Times New Roman" w:cs="Times New Roman"/>
                <w:sz w:val="24"/>
                <w:szCs w:val="24"/>
                <w:lang w:val="uk-UA"/>
              </w:rPr>
              <w:t>46</w:t>
            </w:r>
          </w:p>
        </w:tc>
        <w:tc>
          <w:tcPr>
            <w:tcW w:w="1645" w:type="dxa"/>
            <w:vMerge w:val="restart"/>
            <w:vAlign w:val="center"/>
          </w:tcPr>
          <w:p w:rsidR="00924541" w:rsidRDefault="005B26BB">
            <w:pPr>
              <w:pBdr>
                <w:top w:val="nil"/>
                <w:left w:val="nil"/>
                <w:bottom w:val="nil"/>
                <w:right w:val="nil"/>
                <w:between w:val="nil"/>
              </w:pBd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Залік </w:t>
            </w:r>
          </w:p>
        </w:tc>
      </w:tr>
      <w:tr w:rsidR="00924541">
        <w:trPr>
          <w:jc w:val="center"/>
        </w:trPr>
        <w:tc>
          <w:tcPr>
            <w:tcW w:w="1962" w:type="dxa"/>
            <w:vAlign w:val="center"/>
          </w:tcPr>
          <w:p w:rsidR="00924541" w:rsidRPr="001922F5" w:rsidRDefault="005B26BB" w:rsidP="00B517BD">
            <w:pPr>
              <w:jc w:val="center"/>
              <w:rPr>
                <w:rFonts w:ascii="Times New Roman" w:eastAsia="Times New Roman" w:hAnsi="Times New Roman" w:cs="Times New Roman"/>
                <w:sz w:val="24"/>
                <w:szCs w:val="24"/>
                <w:lang w:val="uk-UA"/>
              </w:rPr>
            </w:pPr>
            <w:r w:rsidRPr="001922F5">
              <w:rPr>
                <w:rFonts w:ascii="Times New Roman" w:eastAsia="Times New Roman" w:hAnsi="Times New Roman" w:cs="Times New Roman"/>
                <w:sz w:val="24"/>
                <w:szCs w:val="24"/>
              </w:rPr>
              <w:t xml:space="preserve">Кредитів ЄКТС: </w:t>
            </w:r>
            <w:r w:rsidR="00B517BD" w:rsidRPr="001922F5">
              <w:rPr>
                <w:rFonts w:ascii="Times New Roman" w:eastAsia="Times New Roman" w:hAnsi="Times New Roman" w:cs="Times New Roman"/>
                <w:sz w:val="24"/>
                <w:szCs w:val="24"/>
                <w:lang w:val="en-US"/>
              </w:rPr>
              <w:t>3</w:t>
            </w:r>
          </w:p>
        </w:tc>
        <w:tc>
          <w:tcPr>
            <w:tcW w:w="6594" w:type="dxa"/>
            <w:gridSpan w:val="4"/>
            <w:vAlign w:val="center"/>
          </w:tcPr>
          <w:p w:rsidR="00924541" w:rsidRPr="001922F5" w:rsidRDefault="00B517BD">
            <w:pPr>
              <w:jc w:val="center"/>
              <w:rPr>
                <w:rFonts w:ascii="Times New Roman" w:eastAsia="Times New Roman" w:hAnsi="Times New Roman" w:cs="Times New Roman"/>
                <w:sz w:val="24"/>
                <w:szCs w:val="24"/>
                <w:lang w:val="uk-UA"/>
              </w:rPr>
            </w:pPr>
            <w:r w:rsidRPr="001922F5">
              <w:rPr>
                <w:rFonts w:ascii="Times New Roman" w:eastAsia="Times New Roman" w:hAnsi="Times New Roman" w:cs="Times New Roman"/>
                <w:sz w:val="24"/>
                <w:szCs w:val="24"/>
                <w:lang w:val="en-US"/>
              </w:rPr>
              <w:t>3</w:t>
            </w:r>
          </w:p>
        </w:tc>
        <w:tc>
          <w:tcPr>
            <w:tcW w:w="1645" w:type="dxa"/>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4"/>
                <w:szCs w:val="24"/>
              </w:rPr>
            </w:pPr>
          </w:p>
        </w:tc>
      </w:tr>
      <w:tr w:rsidR="00924541">
        <w:trPr>
          <w:jc w:val="center"/>
        </w:trPr>
        <w:tc>
          <w:tcPr>
            <w:tcW w:w="10201" w:type="dxa"/>
            <w:gridSpan w:val="6"/>
            <w:shd w:val="clear" w:color="auto" w:fill="EEECE1"/>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Норми та правила</w:t>
            </w:r>
          </w:p>
        </w:tc>
      </w:tr>
      <w:tr w:rsidR="00924541">
        <w:trPr>
          <w:jc w:val="center"/>
        </w:trPr>
        <w:tc>
          <w:tcPr>
            <w:tcW w:w="10201" w:type="dxa"/>
            <w:gridSpan w:val="6"/>
          </w:tcPr>
          <w:p w:rsidR="00924541" w:rsidRDefault="008F0C23">
            <w:pPr>
              <w:rPr>
                <w:rFonts w:ascii="Times New Roman" w:eastAsia="Times New Roman" w:hAnsi="Times New Roman" w:cs="Times New Roman"/>
                <w:b/>
                <w:bCs/>
                <w:sz w:val="24"/>
                <w:szCs w:val="24"/>
              </w:rPr>
            </w:pPr>
            <w:hyperlink r:id="rId14">
              <w:r w:rsidR="005B26BB">
                <w:rPr>
                  <w:rFonts w:ascii="Times New Roman" w:eastAsia="Times New Roman" w:hAnsi="Times New Roman" w:cs="Times New Roman"/>
                  <w:b/>
                  <w:bCs/>
                  <w:sz w:val="24"/>
                  <w:szCs w:val="24"/>
                </w:rPr>
                <w:t>Правила відвідування занять</w:t>
              </w:r>
            </w:hyperlink>
          </w:p>
          <w:p w:rsidR="00924541" w:rsidRDefault="005B26B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Правила відвідування занять здобувачами освіти регламентуються Положенням про організацію освітнього процесу у Приватному вищому навчальному закладі «Київський медичний університет». </w:t>
            </w:r>
          </w:p>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 разі викладання освітнього компонента в змішаному форматі кожен здобувач освіти має підключатися до Google Classroom та Google Meet через корпоративну електронну адресу (з доменом @kmu.edu.ua).</w:t>
            </w:r>
          </w:p>
        </w:tc>
      </w:tr>
      <w:tr w:rsidR="00924541">
        <w:trPr>
          <w:jc w:val="center"/>
        </w:trPr>
        <w:tc>
          <w:tcPr>
            <w:tcW w:w="10201" w:type="dxa"/>
            <w:gridSpan w:val="6"/>
          </w:tcPr>
          <w:p w:rsidR="00924541" w:rsidRDefault="005B26B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Правила поведінки та активності на заняттях, вимоги до зовнішнього вигляду та одягу</w:t>
            </w:r>
          </w:p>
          <w:p w:rsidR="00924541" w:rsidRDefault="005B26B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Здобувач освіти зобовʼязаний:</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дотримуватись законодавства України, Статуту та Правил внутрішнього розпорядку Університету, вимог з охорони праці, пожежної безпеки та правил безпеки під час воєнного стану </w:t>
            </w:r>
            <w:hyperlink r:id="rId15">
              <w:r>
                <w:rPr>
                  <w:rFonts w:ascii="Times New Roman" w:eastAsia="Times New Roman" w:hAnsi="Times New Roman" w:cs="Times New Roman"/>
                  <w:color w:val="0563C1"/>
                  <w:sz w:val="24"/>
                  <w:szCs w:val="24"/>
                  <w:u w:val="single"/>
                </w:rPr>
                <w:t>https://kmu.edu.ua/pravila-bezpeki-pid-chas-voyennogo-stanu/</w:t>
              </w:r>
            </w:hyperlink>
            <w:r>
              <w:rPr>
                <w:rFonts w:ascii="Times New Roman" w:eastAsia="Times New Roman" w:hAnsi="Times New Roman" w:cs="Times New Roman"/>
                <w:color w:val="000000"/>
                <w:sz w:val="24"/>
                <w:szCs w:val="24"/>
              </w:rPr>
              <w:t xml:space="preserve">;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виконувати вимоги навчального плану, графіку навчального процесу;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систематично оволодівати знаннями, практичними навичками, професійною майстерністю, підвищувати загальний і культурний рівень;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у двотижневий термін відпрацьовувати пропущені заняття;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дбайливо ставитися до власності кафедри та Університету (інвентар, навчальне обладнання, книги, прилади, приміщення), а також до своїх документів (студентського квитка, індивідуального навчального плану тощо);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w:t>
            </w:r>
            <w:r>
              <w:rPr>
                <w:rFonts w:ascii="Times New Roman" w:eastAsia="Times New Roman" w:hAnsi="Times New Roman" w:cs="Times New Roman"/>
                <w:color w:val="000000"/>
                <w:sz w:val="24"/>
                <w:szCs w:val="24"/>
              </w:rPr>
              <w:tab/>
              <w:t xml:space="preserve">дотримуватися норм етики і моралі, не вживати нецензурну лексику, вести себе з честю, утримуватись від дій, які б заважали іншим здобувачам освіти чи працівникам кафедри виконувати свої обов’язки;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підтримувати чистоту і порядок в приміщеннях та на території кафедри;</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приходити на заняття не пізніше, ніж за 10 хв. до початку;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знаходитись в Університеті в діловому одязі. На навчальних заняттях здобувач освіти має бути одягнений в медичну форму (медичний халат, хірургічний костюм тощо) та змінне взуття;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мати чистий одяг та взуття;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мати зачіску з охайним виглядом, акуратно заправленим під медичну шапочку, чисті руки з коротко підстриженими нігтями. У разі змішаної форми навчання, вводяться додаткові правила: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 xml:space="preserve">здобувач освіти повинен підʼєднуватись до занять в охайному одязі;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4"/>
                <w:szCs w:val="24"/>
              </w:rPr>
              <w:t>-</w:t>
            </w:r>
            <w:r>
              <w:rPr>
                <w:rFonts w:ascii="Times New Roman" w:eastAsia="Times New Roman" w:hAnsi="Times New Roman" w:cs="Times New Roman"/>
                <w:color w:val="000000"/>
                <w:sz w:val="24"/>
                <w:szCs w:val="24"/>
              </w:rPr>
              <w:tab/>
              <w:t>у приміщенні, з якого здобувач освіти приєднується до класу через відео зв’язок має бути достатнє освітлення та відсутні зайві відволікаючі звуки.</w:t>
            </w:r>
          </w:p>
        </w:tc>
      </w:tr>
      <w:tr w:rsidR="00924541">
        <w:trPr>
          <w:jc w:val="center"/>
        </w:trPr>
        <w:tc>
          <w:tcPr>
            <w:tcW w:w="10201" w:type="dxa"/>
            <w:gridSpan w:val="6"/>
          </w:tcPr>
          <w:p w:rsidR="00924541" w:rsidRDefault="008F0C23">
            <w:pPr>
              <w:jc w:val="both"/>
              <w:rPr>
                <w:rFonts w:ascii="Times New Roman" w:eastAsia="Times New Roman" w:hAnsi="Times New Roman" w:cs="Times New Roman"/>
                <w:b/>
                <w:bCs/>
                <w:sz w:val="24"/>
                <w:szCs w:val="24"/>
              </w:rPr>
            </w:pPr>
            <w:hyperlink r:id="rId16">
              <w:r w:rsidR="005B26BB">
                <w:rPr>
                  <w:rFonts w:ascii="Times New Roman" w:eastAsia="Times New Roman" w:hAnsi="Times New Roman" w:cs="Times New Roman"/>
                  <w:b/>
                  <w:bCs/>
                  <w:sz w:val="24"/>
                  <w:szCs w:val="24"/>
                </w:rPr>
                <w:t>Дотримання академічної доброчесності для всіх учасників освітнього процесу</w:t>
              </w:r>
            </w:hyperlink>
          </w:p>
          <w:p w:rsidR="00924541" w:rsidRDefault="005B26BB">
            <w:pPr>
              <w:pBdr>
                <w:top w:val="nil"/>
                <w:left w:val="nil"/>
                <w:bottom w:val="nil"/>
                <w:right w:val="nil"/>
                <w:between w:val="nil"/>
              </w:pBdr>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Всі учасники освітнього процесу мають дотримуватись Положення про академічну доброчесність у ПВНЗ «Київський медичний університет». </w:t>
            </w:r>
          </w:p>
        </w:tc>
      </w:tr>
      <w:tr w:rsidR="00924541">
        <w:trPr>
          <w:jc w:val="center"/>
        </w:trPr>
        <w:tc>
          <w:tcPr>
            <w:tcW w:w="10201" w:type="dxa"/>
            <w:gridSpan w:val="6"/>
          </w:tcPr>
          <w:p w:rsidR="00924541" w:rsidRDefault="005B26BB">
            <w:pP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Організація самостійної роботи</w:t>
            </w:r>
          </w:p>
          <w:p w:rsidR="00924541" w:rsidRDefault="005B26BB">
            <w:pPr>
              <w:pBdr>
                <w:top w:val="nil"/>
                <w:left w:val="nil"/>
                <w:bottom w:val="nil"/>
                <w:right w:val="nil"/>
                <w:between w:val="nil"/>
              </w:pBdr>
              <w:jc w:val="both"/>
              <w:rPr>
                <w:rFonts w:ascii="Times New Roman" w:eastAsia="Times New Roman" w:hAnsi="Times New Roman" w:cs="Times New Roman"/>
                <w:b/>
                <w:bCs/>
                <w:sz w:val="24"/>
                <w:szCs w:val="24"/>
              </w:rPr>
            </w:pPr>
            <w:r>
              <w:rPr>
                <w:rFonts w:ascii="Times New Roman" w:eastAsia="Times New Roman" w:hAnsi="Times New Roman" w:cs="Times New Roman"/>
                <w:color w:val="000000"/>
                <w:sz w:val="24"/>
                <w:szCs w:val="24"/>
              </w:rPr>
              <w:t xml:space="preserve">Самостійна робота - це вид розумової діяльності, за якої здобувач освіти самостійно (без сторонньої допомоги) опрацьовує навчальний матеріал, тему заняття, вирішує задачу або виконує завдання на основі знань, отриманих з підручників, книг, наукових статей, лекцій і практичних занять. </w:t>
            </w:r>
          </w:p>
        </w:tc>
      </w:tr>
      <w:tr w:rsidR="00924541">
        <w:trPr>
          <w:jc w:val="center"/>
        </w:trPr>
        <w:tc>
          <w:tcPr>
            <w:tcW w:w="10201" w:type="dxa"/>
            <w:gridSpan w:val="6"/>
          </w:tcPr>
          <w:p w:rsidR="00924541" w:rsidRDefault="005B26BB">
            <w:pPr>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Оскарження результатів оцінювання</w:t>
            </w:r>
          </w:p>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Здобувач освіти у разі незгоди з оцінкою має право оскаржити результати підсумкового оцінювання шляхом подання відповідної заяви на апеляцію відповідно до Положення про організацію освітнього процесу у Приватному вищому навчальному закладі «Київський медичний університет».</w:t>
            </w:r>
          </w:p>
        </w:tc>
      </w:tr>
    </w:tbl>
    <w:p w:rsidR="00924541" w:rsidRDefault="00924541">
      <w:pPr>
        <w:spacing w:line="240" w:lineRule="auto"/>
        <w:rPr>
          <w:rFonts w:ascii="Times New Roman" w:eastAsia="Times New Roman" w:hAnsi="Times New Roman" w:cs="Times New Roman"/>
        </w:rPr>
      </w:pPr>
    </w:p>
    <w:p w:rsidR="00924541" w:rsidRDefault="00924541">
      <w:pPr>
        <w:spacing w:line="240" w:lineRule="auto"/>
        <w:rPr>
          <w:rFonts w:ascii="Times New Roman" w:eastAsia="Times New Roman" w:hAnsi="Times New Roman" w:cs="Times New Roman"/>
        </w:rPr>
      </w:pPr>
    </w:p>
    <w:tbl>
      <w:tblPr>
        <w:tblStyle w:val="afe"/>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668"/>
        <w:gridCol w:w="1417"/>
        <w:gridCol w:w="7116"/>
      </w:tblGrid>
      <w:tr w:rsidR="00924541">
        <w:trPr>
          <w:jc w:val="center"/>
        </w:trPr>
        <w:tc>
          <w:tcPr>
            <w:tcW w:w="10201" w:type="dxa"/>
            <w:gridSpan w:val="3"/>
            <w:shd w:val="clear" w:color="auto" w:fill="EEECE1"/>
            <w:vAlign w:val="center"/>
          </w:tcPr>
          <w:p w:rsidR="00924541" w:rsidRDefault="005B26BB">
            <w:pPr>
              <w:shd w:val="clear" w:color="auto" w:fill="E7E6E6"/>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Результати вивчення освітнього компонента (далі - РВОК) </w:t>
            </w:r>
          </w:p>
        </w:tc>
      </w:tr>
      <w:tr w:rsidR="00924541">
        <w:trPr>
          <w:jc w:val="center"/>
        </w:trPr>
        <w:tc>
          <w:tcPr>
            <w:tcW w:w="1668" w:type="dxa"/>
            <w:vMerge w:val="restart"/>
            <w:shd w:val="clear" w:color="auto" w:fill="E7E6E6"/>
            <w:vAlign w:val="center"/>
          </w:tcPr>
          <w:p w:rsidR="00924541" w:rsidRDefault="00924541">
            <w:pPr>
              <w:jc w:val="center"/>
              <w:rPr>
                <w:rFonts w:ascii="Times New Roman" w:eastAsia="Times New Roman" w:hAnsi="Times New Roman" w:cs="Times New Roman"/>
                <w:b/>
                <w:bCs/>
                <w:sz w:val="20"/>
                <w:szCs w:val="20"/>
              </w:rPr>
            </w:pPr>
          </w:p>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Знання:</w:t>
            </w:r>
          </w:p>
        </w:tc>
        <w:tc>
          <w:tcPr>
            <w:tcW w:w="1417"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Код</w:t>
            </w:r>
          </w:p>
        </w:tc>
        <w:tc>
          <w:tcPr>
            <w:tcW w:w="7116"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Назва РВОК</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20"/>
                <w:szCs w:val="20"/>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ЗН1</w:t>
            </w:r>
          </w:p>
        </w:tc>
        <w:tc>
          <w:tcPr>
            <w:tcW w:w="7116" w:type="dxa"/>
            <w:vAlign w:val="center"/>
          </w:tcPr>
          <w:p w:rsidR="00924541" w:rsidRDefault="005B26BB">
            <w:pPr>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Використання іноземної мови за спеціальністю на належному рівні; дотримання граматичних норм англійської мови, знання п</w:t>
            </w:r>
            <w:r>
              <w:rPr>
                <w:rFonts w:ascii="Times New Roman" w:eastAsia="Times New Roman" w:hAnsi="Times New Roman" w:cs="Times New Roman"/>
                <w:color w:val="000009"/>
                <w:sz w:val="24"/>
                <w:szCs w:val="24"/>
              </w:rPr>
              <w:t>рактичних граматичних аспектів англійської мови</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ЗН2</w:t>
            </w:r>
          </w:p>
        </w:tc>
        <w:tc>
          <w:tcPr>
            <w:tcW w:w="7116" w:type="dxa"/>
            <w:vAlign w:val="center"/>
          </w:tcPr>
          <w:p w:rsidR="00924541" w:rsidRDefault="005B26BB">
            <w:pPr>
              <w:tabs>
                <w:tab w:val="left" w:pos="711"/>
              </w:tabs>
              <w:spacing w:line="222" w:lineRule="auto"/>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Коректне використання структурно-лексичних аспектів іноземної мови спеціальності у процесі навчання та професійної діяльності</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A"/>
                <w:sz w:val="24"/>
                <w:szCs w:val="24"/>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ЗН3</w:t>
            </w:r>
          </w:p>
        </w:tc>
        <w:tc>
          <w:tcPr>
            <w:tcW w:w="7116" w:type="dxa"/>
          </w:tcPr>
          <w:p w:rsidR="00924541" w:rsidRDefault="005B26BB">
            <w:pPr>
              <w:tabs>
                <w:tab w:val="left" w:pos="711"/>
              </w:tabs>
              <w:spacing w:line="228" w:lineRule="auto"/>
              <w:ind w:right="20"/>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Розуміння оригінальної літератури іноземною мовою на медичну тематику, інтерпретації змісту загальнонаукової літератури іноземною мовою</w:t>
            </w:r>
          </w:p>
        </w:tc>
      </w:tr>
      <w:tr w:rsidR="00924541">
        <w:trPr>
          <w:jc w:val="center"/>
        </w:trPr>
        <w:tc>
          <w:tcPr>
            <w:tcW w:w="1668" w:type="dxa"/>
            <w:vMerge w:val="restart"/>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Вміння:</w:t>
            </w: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В1</w:t>
            </w:r>
          </w:p>
        </w:tc>
        <w:tc>
          <w:tcPr>
            <w:tcW w:w="7116" w:type="dxa"/>
            <w:vAlign w:val="center"/>
          </w:tcPr>
          <w:p w:rsidR="00924541" w:rsidRDefault="005B26BB">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Виконання  тестових завдань іноземною (англійською) мовою першого етапу єдиного державного кваліфікаційного іспиту</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В2</w:t>
            </w:r>
          </w:p>
        </w:tc>
        <w:tc>
          <w:tcPr>
            <w:tcW w:w="7116" w:type="dxa"/>
            <w:vAlign w:val="center"/>
          </w:tcPr>
          <w:p w:rsidR="00924541" w:rsidRDefault="005B26BB">
            <w:pPr>
              <w:tabs>
                <w:tab w:val="left" w:pos="711"/>
              </w:tabs>
              <w:spacing w:line="231" w:lineRule="auto"/>
              <w:jc w:val="both"/>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Застосування іноземної мови під час професійної діяльності в </w:t>
            </w:r>
            <w:r>
              <w:rPr>
                <w:rFonts w:ascii="Times New Roman" w:eastAsia="Times New Roman" w:hAnsi="Times New Roman" w:cs="Times New Roman"/>
                <w:color w:val="00000A"/>
                <w:sz w:val="24"/>
                <w:szCs w:val="24"/>
              </w:rPr>
              <w:lastRenderedPageBreak/>
              <w:t>галузі мікробіології, анатомії, нормальної фізіології, генетики, імунології та епідеміології в іншомовному середовищі</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A"/>
                <w:sz w:val="24"/>
                <w:szCs w:val="24"/>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В3</w:t>
            </w:r>
          </w:p>
        </w:tc>
        <w:tc>
          <w:tcPr>
            <w:tcW w:w="7116" w:type="dxa"/>
            <w:vAlign w:val="center"/>
          </w:tcPr>
          <w:p w:rsidR="00924541" w:rsidRDefault="005B26BB">
            <w:pPr>
              <w:shd w:val="clear" w:color="auto" w:fill="FFFFFF"/>
              <w:spacing w:after="0" w:line="240" w:lineRule="auto"/>
              <w:jc w:val="both"/>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Здійснення рідною мовами усного та письмового перекладу науково-медичної літератури іноземною мовою</w:t>
            </w:r>
          </w:p>
        </w:tc>
      </w:tr>
      <w:tr w:rsidR="00924541">
        <w:trPr>
          <w:jc w:val="center"/>
        </w:trPr>
        <w:tc>
          <w:tcPr>
            <w:tcW w:w="1668" w:type="dxa"/>
            <w:vMerge w:val="restart"/>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Практичні навички:</w:t>
            </w: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ПН1</w:t>
            </w:r>
          </w:p>
        </w:tc>
        <w:tc>
          <w:tcPr>
            <w:tcW w:w="7116" w:type="dxa"/>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Здатність проведення медичної консультації у іншомовному середовищі; володіння іноземною мовою на варіативно-адаптивному рівні під час міжособистісної взаємодії у професійному середовищі</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ПН2</w:t>
            </w:r>
          </w:p>
        </w:tc>
        <w:tc>
          <w:tcPr>
            <w:tcW w:w="7116" w:type="dxa"/>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Здатність ефективного використання іноземної мови під час оформлення історії хвороби пацієнта, встановлення діагнозу, призначення лікування, виписування рецепту, надання професійних консультацій щодо профілактики захворювань, дієти та здорового способу життя</w:t>
            </w:r>
          </w:p>
        </w:tc>
      </w:tr>
      <w:tr w:rsidR="00924541">
        <w:trPr>
          <w:jc w:val="center"/>
        </w:trPr>
        <w:tc>
          <w:tcPr>
            <w:tcW w:w="1668"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41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ПН3</w:t>
            </w:r>
          </w:p>
        </w:tc>
        <w:tc>
          <w:tcPr>
            <w:tcW w:w="7116" w:type="dxa"/>
          </w:tcPr>
          <w:p w:rsidR="00924541" w:rsidRDefault="005B26BB">
            <w:pPr>
              <w:tabs>
                <w:tab w:val="left" w:pos="711"/>
              </w:tabs>
              <w:spacing w:line="227" w:lineRule="auto"/>
              <w:ind w:right="20"/>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Здатність використання засобів сучасних інформаційних технологій під час спілкування іноземною мовою та передачі інформації</w:t>
            </w:r>
          </w:p>
        </w:tc>
      </w:tr>
    </w:tbl>
    <w:p w:rsidR="00924541" w:rsidRDefault="00924541">
      <w:pPr>
        <w:spacing w:line="240" w:lineRule="auto"/>
        <w:rPr>
          <w:rFonts w:ascii="Times New Roman" w:eastAsia="Times New Roman" w:hAnsi="Times New Roman" w:cs="Times New Roman"/>
        </w:rPr>
      </w:pPr>
    </w:p>
    <w:tbl>
      <w:tblPr>
        <w:tblStyle w:val="aff"/>
        <w:tblpPr w:leftFromText="180" w:rightFromText="180" w:vertAnchor="text" w:tblpX="-289" w:tblpY="1"/>
        <w:tblW w:w="1020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815"/>
        <w:gridCol w:w="1021"/>
        <w:gridCol w:w="5607"/>
        <w:gridCol w:w="1758"/>
      </w:tblGrid>
      <w:tr w:rsidR="00924541">
        <w:tc>
          <w:tcPr>
            <w:tcW w:w="10201" w:type="dxa"/>
            <w:gridSpan w:val="4"/>
            <w:shd w:val="clear" w:color="auto" w:fill="EEECE1"/>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Вклад РВОК до формування загальних (ЗК) та спеціальних компетентностей (СК) відповідно до Освітньої програми (далі ОП)</w:t>
            </w:r>
          </w:p>
        </w:tc>
      </w:tr>
      <w:tr w:rsidR="00924541">
        <w:tc>
          <w:tcPr>
            <w:tcW w:w="1815"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Компетентності</w:t>
            </w:r>
          </w:p>
        </w:tc>
        <w:tc>
          <w:tcPr>
            <w:tcW w:w="1021"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Код компетентності</w:t>
            </w:r>
          </w:p>
        </w:tc>
        <w:tc>
          <w:tcPr>
            <w:tcW w:w="5607"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Назва компетентності</w:t>
            </w:r>
          </w:p>
        </w:tc>
        <w:tc>
          <w:tcPr>
            <w:tcW w:w="1758"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РВОК (вказати коди)</w:t>
            </w:r>
          </w:p>
        </w:tc>
      </w:tr>
      <w:tr w:rsidR="00924541">
        <w:tc>
          <w:tcPr>
            <w:tcW w:w="1815" w:type="dxa"/>
            <w:vMerge w:val="restart"/>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Загальні компетентності </w:t>
            </w: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924541">
            <w:pPr>
              <w:jc w:val="center"/>
              <w:rPr>
                <w:rFonts w:ascii="Times New Roman" w:eastAsia="Times New Roman" w:hAnsi="Times New Roman" w:cs="Times New Roman"/>
                <w:b/>
                <w:bCs/>
                <w:sz w:val="20"/>
                <w:szCs w:val="20"/>
              </w:rPr>
            </w:pPr>
          </w:p>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Спеціальні</w:t>
            </w:r>
          </w:p>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(фахові, </w:t>
            </w:r>
            <w:r>
              <w:rPr>
                <w:rFonts w:ascii="Times New Roman" w:eastAsia="Times New Roman" w:hAnsi="Times New Roman" w:cs="Times New Roman"/>
                <w:b/>
                <w:bCs/>
                <w:sz w:val="20"/>
                <w:szCs w:val="20"/>
              </w:rPr>
              <w:lastRenderedPageBreak/>
              <w:t>предметні) компетентності</w:t>
            </w:r>
          </w:p>
          <w:p w:rsidR="00924541" w:rsidRDefault="00924541">
            <w:pPr>
              <w:jc w:val="center"/>
              <w:rPr>
                <w:rFonts w:ascii="Times New Roman" w:eastAsia="Times New Roman" w:hAnsi="Times New Roman" w:cs="Times New Roman"/>
                <w:b/>
                <w:bCs/>
                <w:sz w:val="20"/>
                <w:szCs w:val="20"/>
              </w:rPr>
            </w:pPr>
          </w:p>
          <w:p w:rsidR="00924541" w:rsidRDefault="00924541">
            <w:pPr>
              <w:widowControl w:val="0"/>
              <w:pBdr>
                <w:top w:val="nil"/>
                <w:left w:val="nil"/>
                <w:bottom w:val="nil"/>
                <w:right w:val="nil"/>
                <w:between w:val="nil"/>
              </w:pBdr>
              <w:jc w:val="center"/>
              <w:rPr>
                <w:rFonts w:ascii="Times New Roman" w:eastAsia="Times New Roman" w:hAnsi="Times New Roman" w:cs="Times New Roman"/>
                <w:sz w:val="20"/>
                <w:szCs w:val="20"/>
              </w:rPr>
            </w:pPr>
          </w:p>
        </w:tc>
        <w:tc>
          <w:tcPr>
            <w:tcW w:w="1021"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ЗК2</w:t>
            </w:r>
          </w:p>
        </w:tc>
        <w:tc>
          <w:tcPr>
            <w:tcW w:w="5607" w:type="dxa"/>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Здатність вчитися і оволодівати сучасними знаннями</w:t>
            </w:r>
          </w:p>
        </w:tc>
        <w:tc>
          <w:tcPr>
            <w:tcW w:w="1758"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В2, В3, ПН3</w:t>
            </w:r>
          </w:p>
        </w:tc>
      </w:tr>
      <w:tr w:rsidR="00924541">
        <w:tc>
          <w:tcPr>
            <w:tcW w:w="1815"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ЗК 3</w:t>
            </w:r>
          </w:p>
        </w:tc>
        <w:tc>
          <w:tcPr>
            <w:tcW w:w="5607" w:type="dxa"/>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Здатність застосовувати знання у практичних ситуаціях</w:t>
            </w:r>
          </w:p>
        </w:tc>
        <w:tc>
          <w:tcPr>
            <w:tcW w:w="1758"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В2, В3, ПН3</w:t>
            </w:r>
          </w:p>
        </w:tc>
      </w:tr>
      <w:tr w:rsidR="00924541">
        <w:tc>
          <w:tcPr>
            <w:tcW w:w="1815"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ЗК 9</w:t>
            </w:r>
          </w:p>
        </w:tc>
        <w:tc>
          <w:tcPr>
            <w:tcW w:w="5607" w:type="dxa"/>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color w:val="00000A"/>
                <w:sz w:val="24"/>
                <w:szCs w:val="24"/>
              </w:rPr>
              <w:t>Здатність спілкуватись іноземною мовою</w:t>
            </w:r>
          </w:p>
        </w:tc>
        <w:tc>
          <w:tcPr>
            <w:tcW w:w="1758"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В2, В3, ПН3</w:t>
            </w:r>
          </w:p>
        </w:tc>
      </w:tr>
      <w:tr w:rsidR="00924541">
        <w:tc>
          <w:tcPr>
            <w:tcW w:w="1815"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СК1</w:t>
            </w:r>
          </w:p>
        </w:tc>
        <w:tc>
          <w:tcPr>
            <w:tcW w:w="5607" w:type="dxa"/>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Здатність збирати медичну інформацію про пацієнта і аналізувати клінічні дані</w:t>
            </w:r>
          </w:p>
        </w:tc>
        <w:tc>
          <w:tcPr>
            <w:tcW w:w="1758"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В1, В2, В3, ПН1, ПН2, ПН3</w:t>
            </w:r>
          </w:p>
        </w:tc>
      </w:tr>
      <w:tr w:rsidR="00924541">
        <w:tc>
          <w:tcPr>
            <w:tcW w:w="1815" w:type="dxa"/>
            <w:vMerge/>
            <w:shd w:val="clear" w:color="auto" w:fill="E7E6E6"/>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20"/>
                <w:szCs w:val="20"/>
              </w:rPr>
            </w:pPr>
          </w:p>
        </w:tc>
        <w:tc>
          <w:tcPr>
            <w:tcW w:w="1021"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СК21</w:t>
            </w:r>
          </w:p>
        </w:tc>
        <w:tc>
          <w:tcPr>
            <w:tcW w:w="5607" w:type="dxa"/>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Зрозуміло і неоднозначно доносити власні знання, висновки та аргументацію за проблем охорони здоров’я та дотичних питань до фахівців і нефахівців, зокрема до осіб, які навчаються</w:t>
            </w:r>
          </w:p>
        </w:tc>
        <w:tc>
          <w:tcPr>
            <w:tcW w:w="1758"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В1, В2, В3, ПН1, ПН2, ПН3</w:t>
            </w:r>
          </w:p>
        </w:tc>
      </w:tr>
    </w:tbl>
    <w:p w:rsidR="00924541" w:rsidRDefault="005B26BB">
      <w:pPr>
        <w:spacing w:line="240" w:lineRule="auto"/>
        <w:rPr>
          <w:rFonts w:ascii="Times New Roman" w:eastAsia="Times New Roman" w:hAnsi="Times New Roman" w:cs="Times New Roman"/>
        </w:rPr>
      </w:pPr>
      <w:r>
        <w:rPr>
          <w:rFonts w:ascii="Times New Roman" w:eastAsia="Times New Roman" w:hAnsi="Times New Roman" w:cs="Times New Roman"/>
        </w:rPr>
        <w:lastRenderedPageBreak/>
        <w:br/>
      </w:r>
    </w:p>
    <w:tbl>
      <w:tblPr>
        <w:tblStyle w:val="aff0"/>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8"/>
        <w:gridCol w:w="4536"/>
        <w:gridCol w:w="3118"/>
        <w:gridCol w:w="1559"/>
      </w:tblGrid>
      <w:tr w:rsidR="00924541">
        <w:trPr>
          <w:jc w:val="center"/>
        </w:trPr>
        <w:tc>
          <w:tcPr>
            <w:tcW w:w="10201" w:type="dxa"/>
            <w:gridSpan w:val="4"/>
            <w:shd w:val="clear" w:color="auto" w:fill="EEECE1"/>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Вклад РВОК до програмних результатів навчання (ПРН), визначених у ОП </w:t>
            </w:r>
          </w:p>
        </w:tc>
      </w:tr>
      <w:tr w:rsidR="00924541">
        <w:trPr>
          <w:jc w:val="center"/>
        </w:trPr>
        <w:tc>
          <w:tcPr>
            <w:tcW w:w="988" w:type="dxa"/>
            <w:tcBorders>
              <w:right w:val="single" w:sz="4" w:space="0" w:color="000000"/>
            </w:tcBorders>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Код ПРН</w:t>
            </w:r>
          </w:p>
        </w:tc>
        <w:tc>
          <w:tcPr>
            <w:tcW w:w="4536" w:type="dxa"/>
            <w:tcBorders>
              <w:left w:val="single" w:sz="4" w:space="0" w:color="000000"/>
              <w:right w:val="single" w:sz="4" w:space="0" w:color="000000"/>
            </w:tcBorders>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Назва ПРН</w:t>
            </w:r>
          </w:p>
        </w:tc>
        <w:tc>
          <w:tcPr>
            <w:tcW w:w="3118" w:type="dxa"/>
            <w:tcBorders>
              <w:left w:val="single" w:sz="4" w:space="0" w:color="000000"/>
            </w:tcBorders>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Перелік синдромів та симптомів; захворювань; станів; невідкладних станів; досліджень; медичних маніпуляцій, вказаних у додатках (списках) до ОП за наявності списків. </w:t>
            </w:r>
          </w:p>
        </w:tc>
        <w:tc>
          <w:tcPr>
            <w:tcW w:w="1559"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РВОК (вказати коди)</w:t>
            </w:r>
          </w:p>
        </w:tc>
      </w:tr>
      <w:tr w:rsidR="00924541">
        <w:trPr>
          <w:jc w:val="center"/>
        </w:trPr>
        <w:tc>
          <w:tcPr>
            <w:tcW w:w="988" w:type="dxa"/>
            <w:tcBorders>
              <w:right w:val="single" w:sz="4" w:space="0" w:color="000000"/>
            </w:tcBorders>
          </w:tcPr>
          <w:p w:rsidR="00924541" w:rsidRDefault="005B26BB">
            <w:pPr>
              <w:jc w:val="center"/>
            </w:pPr>
            <w:r>
              <w:rPr>
                <w:rFonts w:ascii="Times New Roman" w:eastAsia="Times New Roman" w:hAnsi="Times New Roman" w:cs="Times New Roman"/>
                <w:sz w:val="24"/>
                <w:szCs w:val="24"/>
              </w:rPr>
              <w:t>ПРН 1</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Мати ґрунтовні знання із структури професійної діяльності. Вміти здійснювати професійну діяльність, що потребує оновлення та інтеграції знань. Нести відповідальність за професійний розвиток, здатність до подальшого професійного навчання з високим рівнем автономності.</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В1, В2, В3, ПН1, ПН2, ПН3</w:t>
            </w:r>
          </w:p>
        </w:tc>
      </w:tr>
      <w:tr w:rsidR="00924541">
        <w:trPr>
          <w:jc w:val="center"/>
        </w:trPr>
        <w:tc>
          <w:tcPr>
            <w:tcW w:w="988" w:type="dxa"/>
            <w:tcBorders>
              <w:right w:val="single" w:sz="4" w:space="0" w:color="000000"/>
            </w:tcBorders>
          </w:tcPr>
          <w:p w:rsidR="00924541" w:rsidRDefault="005B26BB">
            <w:pPr>
              <w:jc w:val="center"/>
            </w:pPr>
            <w:r>
              <w:rPr>
                <w:rFonts w:ascii="Times New Roman" w:eastAsia="Times New Roman" w:hAnsi="Times New Roman" w:cs="Times New Roman"/>
                <w:sz w:val="24"/>
                <w:szCs w:val="24"/>
              </w:rPr>
              <w:t>ПРН 3</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Спеціалізовані концептуальні знання, що включають наукові здобутки у сфері охорони здоров’я і є основою для проведення досліджень, критичне осмислення проблем у сфері медицини та дотичних до неї міждисциплінарних проблем</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ЗН1, ЗН2, ЗН3, В1, В2, В3, ПН1, ПН2,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ПРН</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5</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Збирати скарги, анамнез життя та захворювання, оцінювати психомоторний та фізичний розвиток пацієнта, стан органів та систем організму, на підставі результатів лабораторних та інструментальних досліджень оцінювати інформацію щодо діагнозу (за списком 4), враховуючи вік пацієнта.</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В2, В3,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ПРН 6</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0"/>
                <w:szCs w:val="20"/>
              </w:rPr>
            </w:pPr>
            <w:r>
              <w:rPr>
                <w:rFonts w:ascii="Times New Roman" w:eastAsia="Times New Roman" w:hAnsi="Times New Roman" w:cs="Times New Roman"/>
                <w:sz w:val="24"/>
                <w:szCs w:val="24"/>
              </w:rPr>
              <w:t xml:space="preserve">Встановлювати остаточний клінічний діагноз шляхом прийняття обґрунтованого рішення та аналізу отриманих суб’єктивних і об’єктивних даних клінічного, додаткового обстеження, проведення диференційної </w:t>
            </w:r>
            <w:r>
              <w:rPr>
                <w:rFonts w:ascii="Times New Roman" w:eastAsia="Times New Roman" w:hAnsi="Times New Roman" w:cs="Times New Roman"/>
                <w:sz w:val="24"/>
                <w:szCs w:val="24"/>
              </w:rPr>
              <w:lastRenderedPageBreak/>
              <w:t>діагностики, дотримуючись відповідних етичних і юридичних норм, під контролем лікарякерівника в умовах закладу охорони здоров’я (за списком 2).</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В2, В3,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ПРН21</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Відшуковувати необхідну інформацію у професійній літературі та базах даних інших джерелах, аналізувати, оцінювати та застосовувати цю інформацію.</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В1, В2, В3, ПН1, ПН2,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ПРН</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25</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Зрозуміло і однозначно доносити власні знання, висновки та аргументацію з проблем охорони здоров’я та дотичних питань до фахівців і нефахівців</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В1, В2, В3, ПН1, ПН2,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ПРН</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26</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Управляти робочими процесами у сфері охорони здоров’я, які є складними, непередбачуваними та потребують нових стратегічних підходів, організовувати роботу та професійний розвиток персоналу з урахуванням набутих навиків ефективної роботи в команді, позицій лідерства, належної якості, доступності і справедливості, забезпечення надання інтегрованої медичної допомоги.</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В2, В3, ПН3</w:t>
            </w:r>
          </w:p>
        </w:tc>
      </w:tr>
      <w:tr w:rsidR="00924541">
        <w:trPr>
          <w:jc w:val="center"/>
        </w:trPr>
        <w:tc>
          <w:tcPr>
            <w:tcW w:w="988" w:type="dxa"/>
            <w:tcBorders>
              <w:right w:val="single" w:sz="4" w:space="0" w:color="000000"/>
            </w:tcBorders>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ПРН</w:t>
            </w:r>
            <w:r>
              <w:rPr>
                <w:rFonts w:ascii="Times New Roman" w:eastAsia="Times New Roman" w:hAnsi="Times New Roman" w:cs="Times New Roman"/>
                <w:color w:val="000000"/>
                <w:sz w:val="24"/>
                <w:szCs w:val="24"/>
                <w:highlight w:val="white"/>
              </w:rPr>
              <w:t xml:space="preserve"> </w:t>
            </w:r>
            <w:r>
              <w:rPr>
                <w:rFonts w:ascii="Times New Roman" w:eastAsia="Times New Roman" w:hAnsi="Times New Roman" w:cs="Times New Roman"/>
                <w:sz w:val="24"/>
                <w:szCs w:val="24"/>
              </w:rPr>
              <w:t>27</w:t>
            </w:r>
          </w:p>
        </w:tc>
        <w:tc>
          <w:tcPr>
            <w:tcW w:w="4536" w:type="dxa"/>
            <w:tcBorders>
              <w:left w:val="single" w:sz="4" w:space="0" w:color="000000"/>
              <w:right w:val="single" w:sz="4" w:space="0" w:color="000000"/>
            </w:tcBorders>
          </w:tcPr>
          <w:p w:rsidR="00924541" w:rsidRDefault="005B26BB">
            <w:pPr>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Вільно спілкуватися державною та англійською мовою, як усно так і письмово для обговорення професійної діяльності, досліджень та проектів.</w:t>
            </w:r>
          </w:p>
        </w:tc>
        <w:tc>
          <w:tcPr>
            <w:tcW w:w="3118" w:type="dxa"/>
            <w:tcBorders>
              <w:left w:val="single" w:sz="4" w:space="0" w:color="000000"/>
            </w:tcBorders>
          </w:tcPr>
          <w:p w:rsidR="00924541" w:rsidRDefault="00924541">
            <w:pPr>
              <w:jc w:val="center"/>
              <w:rPr>
                <w:rFonts w:ascii="Times New Roman" w:eastAsia="Times New Roman" w:hAnsi="Times New Roman" w:cs="Times New Roman"/>
                <w:sz w:val="20"/>
                <w:szCs w:val="20"/>
              </w:rPr>
            </w:pPr>
          </w:p>
        </w:tc>
        <w:tc>
          <w:tcPr>
            <w:tcW w:w="1559" w:type="dxa"/>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ЗН1, ЗН2, ЗН3, В2, В3, ПН3</w:t>
            </w:r>
          </w:p>
        </w:tc>
      </w:tr>
    </w:tbl>
    <w:p w:rsidR="00924541" w:rsidRDefault="00924541">
      <w:pPr>
        <w:spacing w:line="240" w:lineRule="auto"/>
        <w:rPr>
          <w:rFonts w:ascii="Times New Roman" w:eastAsia="Times New Roman" w:hAnsi="Times New Roman" w:cs="Times New Roman"/>
        </w:rPr>
      </w:pPr>
    </w:p>
    <w:tbl>
      <w:tblPr>
        <w:tblStyle w:val="aff1"/>
        <w:tblW w:w="10173"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59"/>
        <w:gridCol w:w="29"/>
        <w:gridCol w:w="7058"/>
        <w:gridCol w:w="2127"/>
      </w:tblGrid>
      <w:tr w:rsidR="00924541">
        <w:trPr>
          <w:jc w:val="center"/>
        </w:trPr>
        <w:tc>
          <w:tcPr>
            <w:tcW w:w="10173" w:type="dxa"/>
            <w:gridSpan w:val="4"/>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Схема організації освітнього компонента</w:t>
            </w:r>
          </w:p>
        </w:tc>
      </w:tr>
      <w:tr w:rsidR="00924541">
        <w:trPr>
          <w:jc w:val="center"/>
        </w:trPr>
        <w:tc>
          <w:tcPr>
            <w:tcW w:w="10173" w:type="dxa"/>
            <w:gridSpan w:val="4"/>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Практичні / семінарські </w:t>
            </w:r>
          </w:p>
        </w:tc>
      </w:tr>
      <w:tr w:rsidR="00924541">
        <w:trPr>
          <w:jc w:val="center"/>
        </w:trPr>
        <w:tc>
          <w:tcPr>
            <w:tcW w:w="959"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з/п</w:t>
            </w:r>
          </w:p>
        </w:tc>
        <w:tc>
          <w:tcPr>
            <w:tcW w:w="7087" w:type="dxa"/>
            <w:gridSpan w:val="2"/>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Тема заняття</w:t>
            </w:r>
          </w:p>
        </w:tc>
        <w:tc>
          <w:tcPr>
            <w:tcW w:w="2127"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Кількість годин</w:t>
            </w:r>
          </w:p>
        </w:tc>
      </w:tr>
      <w:tr w:rsidR="00924541">
        <w:trPr>
          <w:jc w:val="center"/>
        </w:trPr>
        <w:tc>
          <w:tcPr>
            <w:tcW w:w="10173" w:type="dxa"/>
            <w:gridSpan w:val="4"/>
            <w:vAlign w:val="center"/>
          </w:tcPr>
          <w:p w:rsidR="00924541" w:rsidRDefault="005B26BB" w:rsidP="00E26D99">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4"/>
                <w:szCs w:val="24"/>
              </w:rPr>
              <w:t>1 семестр</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1</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Види захворювань та їх симптоми. </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c>
          <w:tcPr>
            <w:tcW w:w="7087" w:type="dxa"/>
            <w:gridSpan w:val="2"/>
            <w:vAlign w:val="center"/>
          </w:tcPr>
          <w:p w:rsidR="00924541" w:rsidRDefault="005B26BB">
            <w:pPr>
              <w:rPr>
                <w:rFonts w:ascii="Times New Roman" w:eastAsia="Times New Roman" w:hAnsi="Times New Roman" w:cs="Times New Roman"/>
                <w:sz w:val="24"/>
                <w:szCs w:val="24"/>
              </w:rPr>
            </w:pPr>
            <w:bookmarkStart w:id="1" w:name="_heading=h.30j0zll" w:colFirst="0" w:colLast="0"/>
            <w:bookmarkEnd w:id="1"/>
            <w:r>
              <w:rPr>
                <w:rFonts w:ascii="Times New Roman" w:eastAsia="Times New Roman" w:hAnsi="Times New Roman" w:cs="Times New Roman"/>
                <w:sz w:val="24"/>
                <w:szCs w:val="24"/>
              </w:rPr>
              <w:t>Медичний огляд.</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3</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Лікарня.</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4</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Лікування хворого.</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5</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В аптеці.</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lastRenderedPageBreak/>
              <w:t>6</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Перша медична допомога.</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7</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Анатомія людини. Ділянки тіла.</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8</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Тулуб. Внутрішні органи.</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trPr>
          <w:jc w:val="center"/>
        </w:trPr>
        <w:tc>
          <w:tcPr>
            <w:tcW w:w="959" w:type="dxa"/>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9</w:t>
            </w:r>
          </w:p>
        </w:tc>
        <w:tc>
          <w:tcPr>
            <w:tcW w:w="7087" w:type="dxa"/>
            <w:gridSpan w:val="2"/>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Системи організму людини.</w:t>
            </w:r>
          </w:p>
        </w:tc>
        <w:tc>
          <w:tcPr>
            <w:tcW w:w="2127" w:type="dxa"/>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924541" w:rsidTr="00E26D99">
        <w:trPr>
          <w:trHeight w:val="390"/>
          <w:jc w:val="center"/>
        </w:trPr>
        <w:tc>
          <w:tcPr>
            <w:tcW w:w="959" w:type="dxa"/>
            <w:tcBorders>
              <w:bottom w:val="single" w:sz="4" w:space="0" w:color="auto"/>
            </w:tcBorders>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4"/>
                <w:szCs w:val="24"/>
              </w:rPr>
              <w:t>10</w:t>
            </w:r>
          </w:p>
        </w:tc>
        <w:tc>
          <w:tcPr>
            <w:tcW w:w="7087" w:type="dxa"/>
            <w:gridSpan w:val="2"/>
            <w:tcBorders>
              <w:bottom w:val="single" w:sz="4" w:space="0" w:color="auto"/>
            </w:tcBorders>
          </w:tcPr>
          <w:p w:rsidR="00E26D99" w:rsidRPr="001922F5" w:rsidRDefault="005B26BB" w:rsidP="00E26D99">
            <w:pPr>
              <w:rPr>
                <w:rFonts w:ascii="Times New Roman" w:eastAsia="Times New Roman" w:hAnsi="Times New Roman" w:cs="Times New Roman"/>
                <w:sz w:val="24"/>
                <w:szCs w:val="24"/>
                <w:lang w:val="ru-RU"/>
              </w:rPr>
            </w:pPr>
            <w:r>
              <w:rPr>
                <w:rFonts w:ascii="Times New Roman" w:eastAsia="Times New Roman" w:hAnsi="Times New Roman" w:cs="Times New Roman"/>
                <w:sz w:val="24"/>
                <w:szCs w:val="24"/>
              </w:rPr>
              <w:t>Систематизація вивченого матеріалу. Підсумковий контроль.</w:t>
            </w:r>
          </w:p>
        </w:tc>
        <w:tc>
          <w:tcPr>
            <w:tcW w:w="2127" w:type="dxa"/>
            <w:tcBorders>
              <w:bottom w:val="single" w:sz="4" w:space="0" w:color="auto"/>
            </w:tcBorders>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4"/>
                <w:szCs w:val="24"/>
              </w:rPr>
              <w:t>2</w:t>
            </w:r>
          </w:p>
        </w:tc>
      </w:tr>
      <w:tr w:rsidR="00E26D99" w:rsidTr="00722EE6">
        <w:trPr>
          <w:trHeight w:val="407"/>
          <w:jc w:val="center"/>
        </w:trPr>
        <w:tc>
          <w:tcPr>
            <w:tcW w:w="10173" w:type="dxa"/>
            <w:gridSpan w:val="4"/>
            <w:tcBorders>
              <w:top w:val="single" w:sz="4" w:space="0" w:color="auto"/>
              <w:bottom w:val="single" w:sz="4" w:space="0" w:color="auto"/>
            </w:tcBorders>
          </w:tcPr>
          <w:p w:rsidR="00E26D99" w:rsidRDefault="00E26D99" w:rsidP="00E26D99">
            <w:pPr>
              <w:jc w:val="center"/>
              <w:rPr>
                <w:rFonts w:ascii="Times New Roman" w:eastAsia="Times New Roman" w:hAnsi="Times New Roman" w:cs="Times New Roman"/>
                <w:sz w:val="24"/>
                <w:szCs w:val="24"/>
              </w:rPr>
            </w:pPr>
            <w:r>
              <w:rPr>
                <w:rFonts w:ascii="Times New Roman" w:eastAsia="Times New Roman" w:hAnsi="Times New Roman" w:cs="Times New Roman"/>
                <w:b/>
                <w:bCs/>
                <w:sz w:val="24"/>
                <w:szCs w:val="24"/>
                <w:lang w:val="en-US"/>
              </w:rPr>
              <w:t>2</w:t>
            </w:r>
            <w:r>
              <w:rPr>
                <w:rFonts w:ascii="Times New Roman" w:eastAsia="Times New Roman" w:hAnsi="Times New Roman" w:cs="Times New Roman"/>
                <w:b/>
                <w:bCs/>
                <w:sz w:val="24"/>
                <w:szCs w:val="24"/>
              </w:rPr>
              <w:t xml:space="preserve"> семестр</w:t>
            </w:r>
          </w:p>
        </w:tc>
      </w:tr>
      <w:tr w:rsidR="005E23AA" w:rsidTr="002F5923">
        <w:trPr>
          <w:trHeight w:val="330"/>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11</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color w:val="00000A"/>
                <w:sz w:val="24"/>
                <w:szCs w:val="24"/>
              </w:rPr>
              <w:t>Респіраторна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172"/>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12</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color w:val="00000A"/>
                <w:sz w:val="24"/>
                <w:szCs w:val="24"/>
              </w:rPr>
              <w:t>Ендокринна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02"/>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13</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color w:val="00000A"/>
                <w:sz w:val="24"/>
                <w:szCs w:val="24"/>
              </w:rPr>
              <w:t>Травна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17"/>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14</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sz w:val="24"/>
                <w:szCs w:val="24"/>
              </w:rPr>
              <w:t>Скелетно-м’ язова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32"/>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15</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color w:val="00000A"/>
                <w:sz w:val="24"/>
                <w:szCs w:val="24"/>
              </w:rPr>
              <w:t>Шкіра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17"/>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16</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sz w:val="24"/>
                <w:szCs w:val="24"/>
              </w:rPr>
              <w:t>Імунна і лімфатична системи</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17"/>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17</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rPr>
            </w:pPr>
            <w:r w:rsidRPr="00722EE6">
              <w:rPr>
                <w:rFonts w:ascii="Times New Roman" w:eastAsia="Times New Roman" w:hAnsi="Times New Roman" w:cs="Times New Roman"/>
                <w:color w:val="00000A"/>
                <w:sz w:val="24"/>
                <w:szCs w:val="24"/>
              </w:rPr>
              <w:t>Серцево-судинна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85"/>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18</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lang w:val="en-US"/>
              </w:rPr>
            </w:pPr>
            <w:r w:rsidRPr="00722EE6">
              <w:rPr>
                <w:rFonts w:ascii="Times New Roman" w:eastAsia="Times New Roman" w:hAnsi="Times New Roman" w:cs="Times New Roman"/>
                <w:color w:val="00000A"/>
                <w:sz w:val="24"/>
                <w:szCs w:val="24"/>
              </w:rPr>
              <w:t>Нервова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2F5923">
        <w:trPr>
          <w:trHeight w:val="217"/>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19</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lang w:val="en-US"/>
              </w:rPr>
            </w:pPr>
            <w:r w:rsidRPr="00722EE6">
              <w:rPr>
                <w:rFonts w:ascii="Times New Roman" w:eastAsia="Times New Roman" w:hAnsi="Times New Roman" w:cs="Times New Roman"/>
                <w:color w:val="00000A"/>
                <w:sz w:val="24"/>
                <w:szCs w:val="24"/>
              </w:rPr>
              <w:t>Видільна система</w:t>
            </w:r>
          </w:p>
        </w:tc>
        <w:tc>
          <w:tcPr>
            <w:tcW w:w="2127" w:type="dxa"/>
            <w:tcBorders>
              <w:top w:val="single" w:sz="4" w:space="0" w:color="auto"/>
              <w:bottom w:val="single" w:sz="4" w:space="0" w:color="auto"/>
            </w:tcBorders>
            <w:vAlign w:val="center"/>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5E23AA" w:rsidTr="00E26D99">
        <w:trPr>
          <w:trHeight w:val="285"/>
          <w:jc w:val="center"/>
        </w:trPr>
        <w:tc>
          <w:tcPr>
            <w:tcW w:w="959" w:type="dxa"/>
            <w:tcBorders>
              <w:top w:val="single" w:sz="4" w:space="0" w:color="auto"/>
              <w:bottom w:val="single" w:sz="4" w:space="0" w:color="auto"/>
            </w:tcBorders>
          </w:tcPr>
          <w:p w:rsidR="005E23AA" w:rsidRPr="0027080A" w:rsidRDefault="005E23A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20</w:t>
            </w:r>
          </w:p>
        </w:tc>
        <w:tc>
          <w:tcPr>
            <w:tcW w:w="7087" w:type="dxa"/>
            <w:gridSpan w:val="2"/>
            <w:tcBorders>
              <w:top w:val="single" w:sz="4" w:space="0" w:color="auto"/>
              <w:bottom w:val="single" w:sz="4" w:space="0" w:color="auto"/>
            </w:tcBorders>
          </w:tcPr>
          <w:p w:rsidR="005E23AA" w:rsidRPr="00722EE6" w:rsidRDefault="005E23AA" w:rsidP="00A863AA">
            <w:pPr>
              <w:rPr>
                <w:rFonts w:ascii="Times New Roman" w:eastAsia="Times New Roman" w:hAnsi="Times New Roman" w:cs="Times New Roman"/>
                <w:sz w:val="24"/>
                <w:szCs w:val="24"/>
                <w:lang w:val="en-US"/>
              </w:rPr>
            </w:pPr>
            <w:r w:rsidRPr="00722EE6">
              <w:rPr>
                <w:rFonts w:ascii="Times New Roman" w:eastAsia="Times New Roman" w:hAnsi="Times New Roman" w:cs="Times New Roman"/>
                <w:color w:val="00000A"/>
                <w:sz w:val="24"/>
                <w:szCs w:val="24"/>
              </w:rPr>
              <w:t>Репродуктивна система</w:t>
            </w:r>
            <w:r w:rsidRPr="00722EE6">
              <w:rPr>
                <w:rFonts w:ascii="Times New Roman" w:eastAsia="Times New Roman" w:hAnsi="Times New Roman" w:cs="Times New Roman"/>
                <w:color w:val="00000A"/>
                <w:sz w:val="24"/>
                <w:szCs w:val="24"/>
                <w:lang w:val="en-US"/>
              </w:rPr>
              <w:t xml:space="preserve">  </w:t>
            </w:r>
            <w:r w:rsidR="00FA6886" w:rsidRPr="00722EE6">
              <w:rPr>
                <w:rFonts w:ascii="Times New Roman" w:eastAsia="Times New Roman" w:hAnsi="Times New Roman" w:cs="Times New Roman"/>
                <w:color w:val="00000A"/>
                <w:sz w:val="24"/>
                <w:szCs w:val="24"/>
                <w:lang w:val="en-US"/>
              </w:rPr>
              <w:t xml:space="preserve"> </w:t>
            </w:r>
          </w:p>
        </w:tc>
        <w:tc>
          <w:tcPr>
            <w:tcW w:w="2127" w:type="dxa"/>
            <w:tcBorders>
              <w:top w:val="single" w:sz="4" w:space="0" w:color="auto"/>
              <w:bottom w:val="single" w:sz="4" w:space="0" w:color="auto"/>
            </w:tcBorders>
          </w:tcPr>
          <w:p w:rsidR="005E23AA" w:rsidRPr="00E26D99" w:rsidRDefault="005E23AA"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E26D99" w:rsidTr="002F5923">
        <w:trPr>
          <w:trHeight w:val="300"/>
          <w:jc w:val="center"/>
        </w:trPr>
        <w:tc>
          <w:tcPr>
            <w:tcW w:w="959" w:type="dxa"/>
            <w:tcBorders>
              <w:top w:val="single" w:sz="4" w:space="0" w:color="auto"/>
              <w:bottom w:val="single" w:sz="4" w:space="0" w:color="auto"/>
            </w:tcBorders>
          </w:tcPr>
          <w:p w:rsidR="00E26D99" w:rsidRPr="0027080A" w:rsidRDefault="0027080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21</w:t>
            </w:r>
          </w:p>
        </w:tc>
        <w:tc>
          <w:tcPr>
            <w:tcW w:w="7087" w:type="dxa"/>
            <w:gridSpan w:val="2"/>
            <w:tcBorders>
              <w:top w:val="single" w:sz="4" w:space="0" w:color="auto"/>
              <w:bottom w:val="single" w:sz="4" w:space="0" w:color="auto"/>
            </w:tcBorders>
          </w:tcPr>
          <w:p w:rsidR="00E26D99" w:rsidRPr="00722EE6" w:rsidRDefault="005E23AA" w:rsidP="00E26D99">
            <w:pPr>
              <w:rPr>
                <w:rFonts w:ascii="Times New Roman" w:eastAsia="Times New Roman" w:hAnsi="Times New Roman" w:cs="Times New Roman"/>
                <w:sz w:val="24"/>
                <w:szCs w:val="24"/>
                <w:lang w:val="en-US"/>
              </w:rPr>
            </w:pPr>
            <w:r w:rsidRPr="00722EE6">
              <w:rPr>
                <w:rFonts w:ascii="Times New Roman" w:eastAsia="Times New Roman" w:hAnsi="Times New Roman" w:cs="Times New Roman"/>
                <w:color w:val="00000A"/>
                <w:sz w:val="24"/>
                <w:szCs w:val="24"/>
              </w:rPr>
              <w:t>Систематизація лексики питань «</w:t>
            </w:r>
            <w:r w:rsidRPr="00722EE6">
              <w:rPr>
                <w:rFonts w:ascii="Times New Roman" w:eastAsia="Times New Roman" w:hAnsi="Times New Roman" w:cs="Times New Roman"/>
                <w:color w:val="000000"/>
                <w:sz w:val="24"/>
                <w:szCs w:val="24"/>
              </w:rPr>
              <w:t>ЄДКІ»</w:t>
            </w:r>
          </w:p>
        </w:tc>
        <w:tc>
          <w:tcPr>
            <w:tcW w:w="2127" w:type="dxa"/>
            <w:tcBorders>
              <w:top w:val="single" w:sz="4" w:space="0" w:color="auto"/>
              <w:bottom w:val="single" w:sz="4" w:space="0" w:color="auto"/>
            </w:tcBorders>
            <w:vAlign w:val="center"/>
          </w:tcPr>
          <w:p w:rsidR="00E26D99" w:rsidRPr="00E26D99" w:rsidRDefault="00E26D99"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E26D99" w:rsidTr="002F5923">
        <w:trPr>
          <w:trHeight w:val="360"/>
          <w:jc w:val="center"/>
        </w:trPr>
        <w:tc>
          <w:tcPr>
            <w:tcW w:w="959" w:type="dxa"/>
            <w:tcBorders>
              <w:top w:val="single" w:sz="4" w:space="0" w:color="auto"/>
            </w:tcBorders>
          </w:tcPr>
          <w:p w:rsidR="00E26D99" w:rsidRPr="0027080A" w:rsidRDefault="0027080A" w:rsidP="00E26D99">
            <w:pPr>
              <w:jc w:val="cente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22</w:t>
            </w:r>
          </w:p>
        </w:tc>
        <w:tc>
          <w:tcPr>
            <w:tcW w:w="7087" w:type="dxa"/>
            <w:gridSpan w:val="2"/>
            <w:tcBorders>
              <w:top w:val="single" w:sz="4" w:space="0" w:color="auto"/>
            </w:tcBorders>
          </w:tcPr>
          <w:p w:rsidR="00E26D99" w:rsidRPr="00722EE6" w:rsidRDefault="00E7340D" w:rsidP="00E26D99">
            <w:pPr>
              <w:rPr>
                <w:rFonts w:ascii="Times New Roman" w:eastAsia="Times New Roman" w:hAnsi="Times New Roman" w:cs="Times New Roman"/>
                <w:sz w:val="24"/>
                <w:szCs w:val="24"/>
                <w:lang w:val="en-US"/>
              </w:rPr>
            </w:pPr>
            <w:r w:rsidRPr="00722EE6">
              <w:rPr>
                <w:rFonts w:ascii="Times New Roman" w:eastAsia="Times New Roman" w:hAnsi="Times New Roman" w:cs="Times New Roman"/>
                <w:sz w:val="24"/>
                <w:szCs w:val="24"/>
              </w:rPr>
              <w:t>Підсумковий контроль</w:t>
            </w:r>
          </w:p>
        </w:tc>
        <w:tc>
          <w:tcPr>
            <w:tcW w:w="2127" w:type="dxa"/>
            <w:tcBorders>
              <w:top w:val="single" w:sz="4" w:space="0" w:color="auto"/>
            </w:tcBorders>
            <w:vAlign w:val="center"/>
          </w:tcPr>
          <w:p w:rsidR="00E26D99" w:rsidRPr="00E26D99" w:rsidRDefault="00E26D99" w:rsidP="002F5923">
            <w:pPr>
              <w:rPr>
                <w:rFonts w:ascii="Times New Roman" w:eastAsia="Times New Roman" w:hAnsi="Times New Roman" w:cs="Times New Roman"/>
                <w:sz w:val="24"/>
                <w:szCs w:val="28"/>
              </w:rPr>
            </w:pPr>
            <w:r w:rsidRPr="00E26D99">
              <w:rPr>
                <w:rFonts w:ascii="Times New Roman" w:eastAsia="Times New Roman" w:hAnsi="Times New Roman" w:cs="Times New Roman"/>
                <w:sz w:val="24"/>
                <w:szCs w:val="28"/>
              </w:rPr>
              <w:t>2</w:t>
            </w:r>
          </w:p>
        </w:tc>
      </w:tr>
      <w:tr w:rsidR="00924541">
        <w:trPr>
          <w:jc w:val="center"/>
        </w:trPr>
        <w:tc>
          <w:tcPr>
            <w:tcW w:w="959" w:type="dxa"/>
          </w:tcPr>
          <w:p w:rsidR="00924541" w:rsidRDefault="00924541">
            <w:pPr>
              <w:jc w:val="center"/>
              <w:rPr>
                <w:rFonts w:ascii="Times New Roman" w:eastAsia="Times New Roman" w:hAnsi="Times New Roman" w:cs="Times New Roman"/>
                <w:sz w:val="24"/>
                <w:szCs w:val="24"/>
              </w:rPr>
            </w:pPr>
          </w:p>
        </w:tc>
        <w:tc>
          <w:tcPr>
            <w:tcW w:w="7087" w:type="dxa"/>
            <w:gridSpan w:val="2"/>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color w:val="00000A"/>
                <w:sz w:val="24"/>
                <w:szCs w:val="24"/>
              </w:rPr>
              <w:t>Всього</w:t>
            </w:r>
          </w:p>
        </w:tc>
        <w:tc>
          <w:tcPr>
            <w:tcW w:w="2127" w:type="dxa"/>
          </w:tcPr>
          <w:p w:rsidR="00924541" w:rsidRPr="00E26D99" w:rsidRDefault="00E26D99">
            <w:pPr>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lang w:val="en-US"/>
              </w:rPr>
              <w:t>44</w:t>
            </w:r>
          </w:p>
        </w:tc>
      </w:tr>
      <w:tr w:rsidR="00924541">
        <w:trPr>
          <w:jc w:val="center"/>
        </w:trPr>
        <w:tc>
          <w:tcPr>
            <w:tcW w:w="10173" w:type="dxa"/>
            <w:gridSpan w:val="4"/>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Самостійна робота (СР)</w:t>
            </w:r>
          </w:p>
        </w:tc>
      </w:tr>
      <w:tr w:rsidR="00924541">
        <w:trPr>
          <w:jc w:val="center"/>
        </w:trPr>
        <w:tc>
          <w:tcPr>
            <w:tcW w:w="988" w:type="dxa"/>
            <w:gridSpan w:val="2"/>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п/п</w:t>
            </w:r>
          </w:p>
        </w:tc>
        <w:tc>
          <w:tcPr>
            <w:tcW w:w="7058"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Вид СР</w:t>
            </w:r>
          </w:p>
        </w:tc>
        <w:tc>
          <w:tcPr>
            <w:tcW w:w="2127" w:type="dxa"/>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Відсоток кількості годин, відведених на СР</w:t>
            </w:r>
          </w:p>
        </w:tc>
      </w:tr>
      <w:tr w:rsidR="00924541">
        <w:trPr>
          <w:jc w:val="center"/>
        </w:trPr>
        <w:tc>
          <w:tcPr>
            <w:tcW w:w="988" w:type="dxa"/>
            <w:gridSpan w:val="2"/>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1</w:t>
            </w:r>
          </w:p>
        </w:tc>
        <w:tc>
          <w:tcPr>
            <w:tcW w:w="7058"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Підготовка до аудиторних занять (опрацювання теоретичного матеріалу, робота з навчальною літературою, методичними рекомендаціями, робочими зошитами тощо)</w:t>
            </w:r>
          </w:p>
        </w:tc>
        <w:tc>
          <w:tcPr>
            <w:tcW w:w="212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924541">
        <w:trPr>
          <w:jc w:val="center"/>
        </w:trPr>
        <w:tc>
          <w:tcPr>
            <w:tcW w:w="988" w:type="dxa"/>
            <w:gridSpan w:val="2"/>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w:t>
            </w:r>
          </w:p>
        </w:tc>
        <w:tc>
          <w:tcPr>
            <w:tcW w:w="7058"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Підготовка до підсумкового контролю</w:t>
            </w:r>
          </w:p>
        </w:tc>
        <w:tc>
          <w:tcPr>
            <w:tcW w:w="212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w:t>
            </w:r>
          </w:p>
        </w:tc>
      </w:tr>
      <w:tr w:rsidR="00924541">
        <w:trPr>
          <w:jc w:val="center"/>
        </w:trPr>
        <w:tc>
          <w:tcPr>
            <w:tcW w:w="988" w:type="dxa"/>
            <w:gridSpan w:val="2"/>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w:t>
            </w:r>
          </w:p>
        </w:tc>
        <w:tc>
          <w:tcPr>
            <w:tcW w:w="7058"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Опрацювання тем освітнього компонента, які передбачені для самостійного вивчення.</w:t>
            </w:r>
          </w:p>
        </w:tc>
        <w:tc>
          <w:tcPr>
            <w:tcW w:w="2127" w:type="dxa"/>
            <w:vAlign w:val="center"/>
          </w:tcPr>
          <w:p w:rsidR="00924541" w:rsidRDefault="005B26BB">
            <w:pPr>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40%</w:t>
            </w:r>
          </w:p>
        </w:tc>
      </w:tr>
      <w:tr w:rsidR="00924541">
        <w:trPr>
          <w:jc w:val="center"/>
        </w:trPr>
        <w:tc>
          <w:tcPr>
            <w:tcW w:w="10173" w:type="dxa"/>
            <w:gridSpan w:val="4"/>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Теми освітнього компонента для самостійного вивчення</w:t>
            </w:r>
          </w:p>
        </w:tc>
      </w:tr>
      <w:tr w:rsidR="00924541">
        <w:trPr>
          <w:jc w:val="center"/>
        </w:trPr>
        <w:tc>
          <w:tcPr>
            <w:tcW w:w="959" w:type="dxa"/>
            <w:shd w:val="clear" w:color="auto" w:fill="E7E6E6"/>
            <w:vAlign w:val="center"/>
          </w:tcPr>
          <w:p w:rsidR="00924541" w:rsidRDefault="005B26BB">
            <w:pPr>
              <w:jc w:val="center"/>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п/п</w:t>
            </w:r>
          </w:p>
        </w:tc>
        <w:tc>
          <w:tcPr>
            <w:tcW w:w="9214" w:type="dxa"/>
            <w:gridSpan w:val="3"/>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Тема </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w:t>
            </w:r>
          </w:p>
        </w:tc>
        <w:tc>
          <w:tcPr>
            <w:tcW w:w="9214" w:type="dxa"/>
            <w:gridSpan w:val="3"/>
            <w:vAlign w:val="center"/>
          </w:tcPr>
          <w:p w:rsidR="00924541" w:rsidRPr="003358D2" w:rsidRDefault="005B26BB">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Студе</w:t>
            </w:r>
            <w:r w:rsidR="003358D2">
              <w:rPr>
                <w:rFonts w:ascii="Times New Roman" w:eastAsia="Times New Roman" w:hAnsi="Times New Roman" w:cs="Times New Roman"/>
                <w:sz w:val="24"/>
                <w:szCs w:val="24"/>
              </w:rPr>
              <w:t>нт медик. Моя майбутня професія</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2</w:t>
            </w:r>
          </w:p>
        </w:tc>
        <w:tc>
          <w:tcPr>
            <w:tcW w:w="9214" w:type="dxa"/>
            <w:gridSpan w:val="3"/>
            <w:vAlign w:val="center"/>
          </w:tcPr>
          <w:p w:rsidR="00924541" w:rsidRPr="003358D2" w:rsidRDefault="005B26BB">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Медична </w:t>
            </w:r>
            <w:r w:rsidR="003358D2">
              <w:rPr>
                <w:rFonts w:ascii="Times New Roman" w:eastAsia="Times New Roman" w:hAnsi="Times New Roman" w:cs="Times New Roman"/>
                <w:sz w:val="24"/>
                <w:szCs w:val="24"/>
              </w:rPr>
              <w:t>освіта в Україні та закордоном</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3</w:t>
            </w:r>
          </w:p>
        </w:tc>
        <w:tc>
          <w:tcPr>
            <w:tcW w:w="9214" w:type="dxa"/>
            <w:gridSpan w:val="3"/>
            <w:vAlign w:val="center"/>
          </w:tcPr>
          <w:p w:rsidR="00924541" w:rsidRDefault="005B26B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Медичний університет </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4</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Коли я хворий</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Речі для сестринської справи</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6</w:t>
            </w:r>
          </w:p>
        </w:tc>
        <w:tc>
          <w:tcPr>
            <w:tcW w:w="9214" w:type="dxa"/>
            <w:gridSpan w:val="3"/>
            <w:vAlign w:val="center"/>
          </w:tcPr>
          <w:p w:rsidR="00924541" w:rsidRPr="003358D2" w:rsidRDefault="005B26BB">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 xml:space="preserve">Здоровий спосіб </w:t>
            </w:r>
            <w:r w:rsidR="003358D2">
              <w:rPr>
                <w:rFonts w:ascii="Times New Roman" w:eastAsia="Times New Roman" w:hAnsi="Times New Roman" w:cs="Times New Roman"/>
                <w:sz w:val="24"/>
                <w:szCs w:val="24"/>
              </w:rPr>
              <w:t>життя</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Візит до лікаря</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Ліки. Вітаміни</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9214" w:type="dxa"/>
            <w:gridSpan w:val="3"/>
            <w:vAlign w:val="center"/>
          </w:tcPr>
          <w:p w:rsidR="00924541" w:rsidRPr="003358D2" w:rsidRDefault="005B26BB">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Кров. Кров</w:t>
            </w:r>
            <w:r w:rsidR="003358D2">
              <w:rPr>
                <w:rFonts w:ascii="Times New Roman" w:eastAsia="Times New Roman" w:hAnsi="Times New Roman" w:cs="Times New Roman"/>
                <w:sz w:val="24"/>
                <w:szCs w:val="24"/>
              </w:rPr>
              <w:t>’яний тиск. Як вимірювати пульс</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Серце</w:t>
            </w:r>
          </w:p>
        </w:tc>
      </w:tr>
      <w:tr w:rsidR="00924541">
        <w:trPr>
          <w:jc w:val="center"/>
        </w:trPr>
        <w:tc>
          <w:tcPr>
            <w:tcW w:w="959" w:type="dxa"/>
            <w:vAlign w:val="center"/>
          </w:tcPr>
          <w:p w:rsidR="00924541" w:rsidRDefault="005B26BB">
            <w:pPr>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9214" w:type="dxa"/>
            <w:gridSpan w:val="3"/>
            <w:vAlign w:val="center"/>
          </w:tcPr>
          <w:p w:rsidR="00924541" w:rsidRPr="003358D2" w:rsidRDefault="003358D2">
            <w:pP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rPr>
              <w:t>Скелет</w:t>
            </w:r>
            <w:bookmarkStart w:id="2" w:name="_GoBack"/>
            <w:bookmarkEnd w:id="2"/>
          </w:p>
        </w:tc>
      </w:tr>
    </w:tbl>
    <w:p w:rsidR="00924541" w:rsidRDefault="00924541">
      <w:pPr>
        <w:spacing w:line="240" w:lineRule="auto"/>
        <w:rPr>
          <w:rFonts w:ascii="Times New Roman" w:eastAsia="Times New Roman" w:hAnsi="Times New Roman" w:cs="Times New Roman"/>
        </w:rPr>
      </w:pPr>
    </w:p>
    <w:tbl>
      <w:tblPr>
        <w:tblStyle w:val="aff2"/>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674"/>
        <w:gridCol w:w="375"/>
        <w:gridCol w:w="51"/>
        <w:gridCol w:w="283"/>
        <w:gridCol w:w="284"/>
        <w:gridCol w:w="1589"/>
        <w:gridCol w:w="113"/>
        <w:gridCol w:w="566"/>
        <w:gridCol w:w="596"/>
        <w:gridCol w:w="254"/>
        <w:gridCol w:w="1731"/>
        <w:gridCol w:w="1139"/>
        <w:gridCol w:w="278"/>
        <w:gridCol w:w="255"/>
        <w:gridCol w:w="596"/>
        <w:gridCol w:w="113"/>
        <w:gridCol w:w="454"/>
        <w:gridCol w:w="822"/>
        <w:gridCol w:w="28"/>
      </w:tblGrid>
      <w:tr w:rsidR="00924541">
        <w:trPr>
          <w:jc w:val="center"/>
        </w:trPr>
        <w:tc>
          <w:tcPr>
            <w:tcW w:w="10201" w:type="dxa"/>
            <w:gridSpan w:val="19"/>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Використання платформи PrExam при вивченні освітнього компонента та при підготовці до складання ЄДКІ </w:t>
            </w:r>
          </w:p>
        </w:tc>
      </w:tr>
      <w:tr w:rsidR="00924541">
        <w:trPr>
          <w:jc w:val="center"/>
        </w:trPr>
        <w:tc>
          <w:tcPr>
            <w:tcW w:w="3369" w:type="dxa"/>
            <w:gridSpan w:val="7"/>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Умови допуску до підсумкового контролю та ЄДКІ</w:t>
            </w:r>
          </w:p>
        </w:tc>
        <w:tc>
          <w:tcPr>
            <w:tcW w:w="6832" w:type="dxa"/>
            <w:gridSpan w:val="12"/>
            <w:vAlign w:val="center"/>
          </w:tcPr>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На кожному практичному занятті здобувач освіти зобов’язаний пройти тестування на освітній платформі PrExam за відповідною темою заняття.  </w:t>
            </w:r>
          </w:p>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Критерій «склав» для тесту за відповідною темою складає 85% правильних відповідей. </w:t>
            </w:r>
          </w:p>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До підсумкового контролю та ЄДКІ допускається здобувач освіти який не має пропущених та невідпрацьованих занять та у якого середнє арифметичне оцінок складає не менше, ніж 3.0  (допускається наявність не більше 10% негативних оцінок («2») від загальної кількості занять).</w:t>
            </w:r>
          </w:p>
        </w:tc>
      </w:tr>
      <w:tr w:rsidR="00924541">
        <w:trPr>
          <w:jc w:val="center"/>
        </w:trPr>
        <w:tc>
          <w:tcPr>
            <w:tcW w:w="3369" w:type="dxa"/>
            <w:gridSpan w:val="7"/>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Вимоги до роботи на платформі PrExam</w:t>
            </w:r>
          </w:p>
        </w:tc>
        <w:tc>
          <w:tcPr>
            <w:tcW w:w="6832" w:type="dxa"/>
            <w:gridSpan w:val="12"/>
            <w:vAlign w:val="center"/>
          </w:tcPr>
          <w:p w:rsidR="00924541" w:rsidRDefault="005B26BB">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Здобувач освіти має бути зареєстрованим користувачем платформи PrExam </w:t>
            </w:r>
            <w:hyperlink r:id="rId17">
              <w:r>
                <w:rPr>
                  <w:rFonts w:ascii="Times New Roman" w:eastAsia="Times New Roman" w:hAnsi="Times New Roman" w:cs="Times New Roman"/>
                  <w:color w:val="0563C1"/>
                  <w:sz w:val="20"/>
                  <w:szCs w:val="20"/>
                  <w:u w:val="single"/>
                </w:rPr>
                <w:t>https://prexam.kmu.edu.ua/</w:t>
              </w:r>
            </w:hyperlink>
            <w:r>
              <w:rPr>
                <w:rFonts w:ascii="Times New Roman" w:eastAsia="Times New Roman" w:hAnsi="Times New Roman" w:cs="Times New Roman"/>
                <w:color w:val="000000"/>
                <w:sz w:val="20"/>
                <w:szCs w:val="20"/>
              </w:rPr>
              <w:t>. Платформа використовується для тестування здобувачів освіти з тем освітнього компонента, проведення екзаменаційного тестування та підготовки до першого та другого етапів ЄДКІ.</w:t>
            </w:r>
          </w:p>
        </w:tc>
      </w:tr>
      <w:tr w:rsidR="00924541">
        <w:trPr>
          <w:jc w:val="center"/>
        </w:trPr>
        <w:tc>
          <w:tcPr>
            <w:tcW w:w="3369" w:type="dxa"/>
            <w:gridSpan w:val="7"/>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Підготовка до першого та другого етапів ЄДКІ: </w:t>
            </w:r>
          </w:p>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Крок 1; іспит з англійської мови професійного спрямування; Крок 2. </w:t>
            </w:r>
          </w:p>
        </w:tc>
        <w:tc>
          <w:tcPr>
            <w:tcW w:w="6832" w:type="dxa"/>
            <w:gridSpan w:val="12"/>
            <w:vAlign w:val="center"/>
          </w:tcPr>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Здобувачі мають використовувати: </w:t>
            </w:r>
          </w:p>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бази тестів на платформі PrExam </w:t>
            </w:r>
            <w:hyperlink r:id="rId18">
              <w:r>
                <w:rPr>
                  <w:rFonts w:ascii="Times New Roman" w:eastAsia="Times New Roman" w:hAnsi="Times New Roman" w:cs="Times New Roman"/>
                  <w:color w:val="0563C1"/>
                  <w:sz w:val="20"/>
                  <w:szCs w:val="20"/>
                  <w:u w:val="single"/>
                </w:rPr>
                <w:t>https://prexam.kmu.edu.ua/</w:t>
              </w:r>
            </w:hyperlink>
            <w:r>
              <w:rPr>
                <w:rFonts w:ascii="Times New Roman" w:eastAsia="Times New Roman" w:hAnsi="Times New Roman" w:cs="Times New Roman"/>
                <w:color w:val="000000"/>
                <w:sz w:val="20"/>
                <w:szCs w:val="20"/>
              </w:rPr>
              <w:t>;</w:t>
            </w:r>
          </w:p>
          <w:p w:rsidR="00924541" w:rsidRDefault="005B26BB">
            <w:pPr>
              <w:pBdr>
                <w:top w:val="nil"/>
                <w:left w:val="nil"/>
                <w:bottom w:val="nil"/>
                <w:right w:val="nil"/>
                <w:between w:val="nil"/>
              </w:pBd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w:t>
            </w:r>
            <w:r>
              <w:rPr>
                <w:rFonts w:ascii="Times New Roman" w:eastAsia="Times New Roman" w:hAnsi="Times New Roman" w:cs="Times New Roman"/>
                <w:sz w:val="20"/>
                <w:szCs w:val="20"/>
              </w:rPr>
              <w:t xml:space="preserve">освітній модуль ДНП «Центр тестування» </w:t>
            </w:r>
            <w:hyperlink r:id="rId19">
              <w:r>
                <w:rPr>
                  <w:rFonts w:ascii="Times New Roman" w:eastAsia="Times New Roman" w:hAnsi="Times New Roman" w:cs="Times New Roman"/>
                  <w:color w:val="0563C1"/>
                  <w:sz w:val="20"/>
                  <w:szCs w:val="20"/>
                  <w:u w:val="single"/>
                </w:rPr>
                <w:t>https://test.testcentr.org.ua/</w:t>
              </w:r>
            </w:hyperlink>
            <w:r>
              <w:rPr>
                <w:rFonts w:ascii="Times New Roman" w:eastAsia="Times New Roman" w:hAnsi="Times New Roman" w:cs="Times New Roman"/>
                <w:color w:val="0563C1"/>
                <w:sz w:val="20"/>
                <w:szCs w:val="20"/>
                <w:u w:val="single"/>
              </w:rPr>
              <w:t>.</w:t>
            </w:r>
          </w:p>
        </w:tc>
      </w:tr>
      <w:tr w:rsidR="00924541">
        <w:trPr>
          <w:jc w:val="center"/>
        </w:trPr>
        <w:tc>
          <w:tcPr>
            <w:tcW w:w="3369" w:type="dxa"/>
            <w:gridSpan w:val="7"/>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Підготовка до другого етапу ЄДКІ: об’єктивний структурований практичний (клінічний) іспиту (ОСП(К)І)</w:t>
            </w:r>
          </w:p>
        </w:tc>
        <w:tc>
          <w:tcPr>
            <w:tcW w:w="6832" w:type="dxa"/>
            <w:gridSpan w:val="12"/>
            <w:vAlign w:val="center"/>
          </w:tcPr>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0"/>
                <w:szCs w:val="20"/>
              </w:rPr>
              <w:t>Не передбачено</w:t>
            </w:r>
          </w:p>
        </w:tc>
      </w:tr>
      <w:tr w:rsidR="00924541">
        <w:trPr>
          <w:trHeight w:val="206"/>
          <w:jc w:val="center"/>
        </w:trPr>
        <w:tc>
          <w:tcPr>
            <w:tcW w:w="10201" w:type="dxa"/>
            <w:gridSpan w:val="19"/>
            <w:shd w:val="clear" w:color="auto" w:fill="E7E6E6"/>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Система оцінювання </w:t>
            </w:r>
          </w:p>
        </w:tc>
      </w:tr>
      <w:tr w:rsidR="00924541">
        <w:trPr>
          <w:jc w:val="center"/>
        </w:trPr>
        <w:tc>
          <w:tcPr>
            <w:tcW w:w="10201" w:type="dxa"/>
            <w:gridSpan w:val="19"/>
          </w:tcPr>
          <w:p w:rsidR="00924541" w:rsidRDefault="005B26BB">
            <w:pPr>
              <w:pBdr>
                <w:top w:val="nil"/>
                <w:left w:val="nil"/>
                <w:bottom w:val="nil"/>
                <w:right w:val="nil"/>
                <w:between w:val="nil"/>
              </w:pBdr>
              <w:tabs>
                <w:tab w:val="left" w:pos="709"/>
              </w:tabs>
              <w:spacing w:after="0" w:line="240" w:lineRule="auto"/>
              <w:ind w:firstLine="60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Оцінювання поточної успішності здобувача освіти здійснюється на кожному занятті шляхом виставлення до журналу академічної успішності оцінки за 4 бальною шкалою (5,4,3,2). </w:t>
            </w:r>
          </w:p>
          <w:p w:rsidR="00924541" w:rsidRDefault="005B26BB">
            <w:pPr>
              <w:pBdr>
                <w:top w:val="nil"/>
                <w:left w:val="nil"/>
                <w:bottom w:val="nil"/>
                <w:right w:val="nil"/>
                <w:between w:val="nil"/>
              </w:pBdr>
              <w:tabs>
                <w:tab w:val="left" w:pos="709"/>
              </w:tabs>
              <w:spacing w:after="0" w:line="240" w:lineRule="auto"/>
              <w:ind w:firstLine="601"/>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Оцінка за практичне заняття складається з наступних компонентів:</w:t>
            </w:r>
          </w:p>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розв’язання ситуаційної задачі: 0 або 1 балів, де «склав» - 1 бал, «не склав» – 0 балів;</w:t>
            </w:r>
          </w:p>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теоретична частина: 0, 1, 2 балів;</w:t>
            </w:r>
          </w:p>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практична частина: 0, 1, 2 балів.  </w:t>
            </w:r>
          </w:p>
        </w:tc>
      </w:tr>
      <w:tr w:rsidR="00924541">
        <w:trPr>
          <w:jc w:val="center"/>
        </w:trPr>
        <w:tc>
          <w:tcPr>
            <w:tcW w:w="10201" w:type="dxa"/>
            <w:gridSpan w:val="19"/>
            <w:shd w:val="clear" w:color="auto" w:fill="E7E6E6"/>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Рекомендований регламент проведення та критерії оцінювання поточної успішності</w:t>
            </w:r>
          </w:p>
        </w:tc>
      </w:tr>
      <w:tr w:rsidR="00924541">
        <w:trPr>
          <w:jc w:val="center"/>
        </w:trPr>
        <w:tc>
          <w:tcPr>
            <w:tcW w:w="3935" w:type="dxa"/>
            <w:gridSpan w:val="8"/>
            <w:tcBorders>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Теоретична частина</w:t>
            </w:r>
          </w:p>
        </w:tc>
        <w:tc>
          <w:tcPr>
            <w:tcW w:w="4253" w:type="dxa"/>
            <w:gridSpan w:val="6"/>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Практична частина (виконання практичних навичок, маніпуляцій, вирішення ситуаційних задач, робота з робочим зошитом тощо)</w:t>
            </w:r>
          </w:p>
        </w:tc>
        <w:tc>
          <w:tcPr>
            <w:tcW w:w="2013" w:type="dxa"/>
            <w:gridSpan w:val="5"/>
            <w:tcBorders>
              <w:lef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Розв’язання ситуаційних задач</w:t>
            </w:r>
          </w:p>
        </w:tc>
      </w:tr>
      <w:tr w:rsidR="00924541">
        <w:trPr>
          <w:gridAfter w:val="1"/>
          <w:wAfter w:w="28" w:type="dxa"/>
          <w:jc w:val="center"/>
        </w:trPr>
        <w:tc>
          <w:tcPr>
            <w:tcW w:w="674" w:type="dxa"/>
            <w:tcBorders>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Бал</w:t>
            </w:r>
          </w:p>
        </w:tc>
        <w:tc>
          <w:tcPr>
            <w:tcW w:w="3261" w:type="dxa"/>
            <w:gridSpan w:val="7"/>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Дескриптор</w:t>
            </w:r>
          </w:p>
        </w:tc>
        <w:tc>
          <w:tcPr>
            <w:tcW w:w="850" w:type="dxa"/>
            <w:gridSpan w:val="2"/>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Бал</w:t>
            </w:r>
          </w:p>
        </w:tc>
        <w:tc>
          <w:tcPr>
            <w:tcW w:w="3403" w:type="dxa"/>
            <w:gridSpan w:val="4"/>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Дескриптор</w:t>
            </w:r>
          </w:p>
        </w:tc>
        <w:tc>
          <w:tcPr>
            <w:tcW w:w="709" w:type="dxa"/>
            <w:gridSpan w:val="2"/>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Бал</w:t>
            </w:r>
          </w:p>
        </w:tc>
        <w:tc>
          <w:tcPr>
            <w:tcW w:w="1276" w:type="dxa"/>
            <w:gridSpan w:val="2"/>
            <w:tcBorders>
              <w:lef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Дескриптор</w:t>
            </w:r>
          </w:p>
        </w:tc>
      </w:tr>
      <w:tr w:rsidR="00924541">
        <w:trPr>
          <w:gridAfter w:val="1"/>
          <w:wAfter w:w="28" w:type="dxa"/>
          <w:jc w:val="center"/>
        </w:trPr>
        <w:tc>
          <w:tcPr>
            <w:tcW w:w="674" w:type="dxa"/>
            <w:tcBorders>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261" w:type="dxa"/>
            <w:gridSpan w:val="7"/>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вільно володіє навчальним матеріалом і термінологією. Правильно та змістовно висловлює свої думки, дає вичерпні точні відповіді на поставлені запитання</w:t>
            </w:r>
          </w:p>
        </w:tc>
        <w:tc>
          <w:tcPr>
            <w:tcW w:w="850" w:type="dxa"/>
            <w:gridSpan w:val="2"/>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3403" w:type="dxa"/>
            <w:gridSpan w:val="4"/>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Безпомилково виконує практичні навички, маніпуляції, розв’язує поставлені задачі.</w:t>
            </w:r>
          </w:p>
        </w:tc>
        <w:tc>
          <w:tcPr>
            <w:tcW w:w="709" w:type="dxa"/>
            <w:gridSpan w:val="2"/>
            <w:vMerge w:val="restart"/>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1276" w:type="dxa"/>
            <w:gridSpan w:val="2"/>
            <w:vMerge w:val="restart"/>
            <w:tcBorders>
              <w:lef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Тестові завдання складені на 85-100%</w:t>
            </w:r>
          </w:p>
        </w:tc>
      </w:tr>
      <w:tr w:rsidR="00924541">
        <w:trPr>
          <w:gridAfter w:val="1"/>
          <w:wAfter w:w="28" w:type="dxa"/>
          <w:trHeight w:val="819"/>
          <w:jc w:val="center"/>
        </w:trPr>
        <w:tc>
          <w:tcPr>
            <w:tcW w:w="674" w:type="dxa"/>
            <w:vMerge w:val="restart"/>
            <w:tcBorders>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261" w:type="dxa"/>
            <w:gridSpan w:val="7"/>
            <w:vMerge w:val="restart"/>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має грунтовні знання, вміє застосовувати їх на практиці, але допускає неточності, окремі помилки у формулюванні відповідей. Не може викласти думку, але на запитання з підказками відповідає правильно.</w:t>
            </w:r>
          </w:p>
        </w:tc>
        <w:tc>
          <w:tcPr>
            <w:tcW w:w="850" w:type="dxa"/>
            <w:gridSpan w:val="2"/>
            <w:vMerge w:val="restart"/>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3403" w:type="dxa"/>
            <w:gridSpan w:val="4"/>
            <w:vMerge w:val="restart"/>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Під час виконання практичних навичок, маніпуляцій, розв’язування поставлених задач допускає помилки.</w:t>
            </w:r>
          </w:p>
        </w:tc>
        <w:tc>
          <w:tcPr>
            <w:tcW w:w="709" w:type="dxa"/>
            <w:gridSpan w:val="2"/>
            <w:vMerge/>
            <w:tcBorders>
              <w:left w:val="single" w:sz="4" w:space="0" w:color="000000"/>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1276" w:type="dxa"/>
            <w:gridSpan w:val="2"/>
            <w:vMerge/>
            <w:tcBorders>
              <w:lef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r>
      <w:tr w:rsidR="00924541">
        <w:trPr>
          <w:gridAfter w:val="1"/>
          <w:wAfter w:w="28" w:type="dxa"/>
          <w:trHeight w:val="423"/>
          <w:jc w:val="center"/>
        </w:trPr>
        <w:tc>
          <w:tcPr>
            <w:tcW w:w="674" w:type="dxa"/>
            <w:vMerge/>
            <w:tcBorders>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3261" w:type="dxa"/>
            <w:gridSpan w:val="7"/>
            <w:vMerge/>
            <w:tcBorders>
              <w:left w:val="single" w:sz="4" w:space="0" w:color="000000"/>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850" w:type="dxa"/>
            <w:gridSpan w:val="2"/>
            <w:vMerge/>
            <w:tcBorders>
              <w:left w:val="single" w:sz="4" w:space="0" w:color="000000"/>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3403" w:type="dxa"/>
            <w:gridSpan w:val="4"/>
            <w:vMerge/>
            <w:tcBorders>
              <w:left w:val="single" w:sz="4" w:space="0" w:color="000000"/>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709" w:type="dxa"/>
            <w:gridSpan w:val="2"/>
            <w:vMerge w:val="restart"/>
            <w:tcBorders>
              <w:top w:val="single" w:sz="4" w:space="0" w:color="000000"/>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1276" w:type="dxa"/>
            <w:gridSpan w:val="2"/>
            <w:vMerge w:val="restart"/>
            <w:tcBorders>
              <w:top w:val="single" w:sz="4" w:space="0" w:color="000000"/>
              <w:lef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Тестові завдання складені менше ніж на 85%</w:t>
            </w:r>
          </w:p>
        </w:tc>
      </w:tr>
      <w:tr w:rsidR="00924541">
        <w:trPr>
          <w:gridAfter w:val="1"/>
          <w:wAfter w:w="28" w:type="dxa"/>
          <w:trHeight w:val="912"/>
          <w:jc w:val="center"/>
        </w:trPr>
        <w:tc>
          <w:tcPr>
            <w:tcW w:w="674" w:type="dxa"/>
            <w:tcBorders>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3261" w:type="dxa"/>
            <w:gridSpan w:val="7"/>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має прогалини в знаннях з теми. Замість чіткого змістовного визначення пояснює матеріал на побутовому рівні. Не наводить приклади.</w:t>
            </w:r>
          </w:p>
        </w:tc>
        <w:tc>
          <w:tcPr>
            <w:tcW w:w="850" w:type="dxa"/>
            <w:gridSpan w:val="2"/>
            <w:tcBorders>
              <w:left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3403" w:type="dxa"/>
            <w:gridSpan w:val="4"/>
            <w:tcBorders>
              <w:left w:val="single" w:sz="4" w:space="0" w:color="000000"/>
              <w:bottom w:val="single" w:sz="4" w:space="0" w:color="000000"/>
              <w:right w:val="single" w:sz="4" w:space="0" w:color="000000"/>
            </w:tcBorders>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Під час виконання практичних навичок, маніпуляцій, розв’язування поставлених задач допускає значні та критичні помилки.</w:t>
            </w:r>
          </w:p>
          <w:p w:rsidR="00924541" w:rsidRDefault="00924541">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p>
        </w:tc>
        <w:tc>
          <w:tcPr>
            <w:tcW w:w="709" w:type="dxa"/>
            <w:gridSpan w:val="2"/>
            <w:vMerge/>
            <w:tcBorders>
              <w:top w:val="single" w:sz="4" w:space="0" w:color="000000"/>
              <w:left w:val="single" w:sz="4" w:space="0" w:color="000000"/>
              <w:righ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1276" w:type="dxa"/>
            <w:gridSpan w:val="2"/>
            <w:vMerge/>
            <w:tcBorders>
              <w:top w:val="single" w:sz="4" w:space="0" w:color="000000"/>
              <w:left w:val="single" w:sz="4" w:space="0" w:color="000000"/>
            </w:tcBorders>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r>
      <w:tr w:rsidR="00924541">
        <w:trPr>
          <w:jc w:val="center"/>
        </w:trPr>
        <w:tc>
          <w:tcPr>
            <w:tcW w:w="10201" w:type="dxa"/>
            <w:gridSpan w:val="19"/>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Форма контролю «Проміжний залік»: </w:t>
            </w:r>
          </w:p>
          <w:p w:rsidR="00924541"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освітній компонент вивчається протягом декількох семестрів, то всі семестри, окрім останнього завершується формою контролю – «Проміжний залік» (вивчення освітнього компонента продовжиться в наступних семестрах), тоді підраховується середнє арифметичне з оцінок за кожне заняття, і конвертується у 200-бальну шкалу, після чого результат фіксується в журналі академічної успішності.  У відомості обліку успішності проставляється запис: «зараховано» (або «не зараховано») та набрані здобувачем освіти бали за 200-бальною шкалою. «Зараховано»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В індивідуальний навчальний план та відомість викладач вносить оцінку у день складання проміжного заліку. «Не зараховано» виставляється здобувачу освіти, який має невідпрацьовані пропущені заняття та/або середнє арифметичне всіх оцінок за кожне заняття менше ніж 3,0. 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trPr>
          <w:jc w:val="center"/>
        </w:trPr>
        <w:tc>
          <w:tcPr>
            <w:tcW w:w="1100"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Оцінювання</w:t>
            </w:r>
          </w:p>
        </w:tc>
        <w:tc>
          <w:tcPr>
            <w:tcW w:w="2156"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Складові</w:t>
            </w:r>
          </w:p>
        </w:tc>
        <w:tc>
          <w:tcPr>
            <w:tcW w:w="3260"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Середнє арифметичне з оцінок за кожне заняття</w:t>
            </w:r>
          </w:p>
        </w:tc>
        <w:tc>
          <w:tcPr>
            <w:tcW w:w="1672"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Зараховано/Не зараховано</w:t>
            </w:r>
          </w:p>
        </w:tc>
      </w:tr>
      <w:tr w:rsidR="00924541">
        <w:trPr>
          <w:jc w:val="center"/>
        </w:trPr>
        <w:tc>
          <w:tcPr>
            <w:tcW w:w="1100" w:type="dxa"/>
            <w:gridSpan w:val="3"/>
            <w:vMerge w:val="restart"/>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5,0</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200</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4.0-4.99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160-199</w:t>
            </w:r>
          </w:p>
        </w:tc>
        <w:tc>
          <w:tcPr>
            <w:tcW w:w="2013" w:type="dxa"/>
            <w:gridSpan w:val="5"/>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120-159</w:t>
            </w:r>
          </w:p>
        </w:tc>
        <w:tc>
          <w:tcPr>
            <w:tcW w:w="2013" w:type="dxa"/>
            <w:gridSpan w:val="5"/>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0-119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Не зараховано</w:t>
            </w:r>
          </w:p>
        </w:tc>
      </w:tr>
      <w:tr w:rsidR="00924541">
        <w:trPr>
          <w:jc w:val="center"/>
        </w:trPr>
        <w:tc>
          <w:tcPr>
            <w:tcW w:w="10201" w:type="dxa"/>
            <w:gridSpan w:val="19"/>
            <w:vAlign w:val="center"/>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trPr>
          <w:jc w:val="center"/>
        </w:trPr>
        <w:tc>
          <w:tcPr>
            <w:tcW w:w="10201" w:type="dxa"/>
            <w:gridSpan w:val="19"/>
            <w:vAlign w:val="center"/>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Форма контролю «Залік» (освітній компонент вивчається протягом одного семестру): </w:t>
            </w:r>
          </w:p>
          <w:p w:rsidR="00924541"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освітній компонент вивчається протягом одного семестру і завершується формою контролю – «залік», то підраховується середнє арифметичне з оцінок за кожне заняття, і конвертується у 200-бальну шкалу та в оцінку ECTS, після чого результат фіксується в журналі академічної успішності. У відомості обліку успішності проставляються набрані здобувачем освіти бали за 200-бальною шкалою та оцінка в системі ECTS. Оцінка А, В, С, D, Е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індивідуальний навчальний план та відомість викладач вносить оцінку у день складання заліку. Оцінка Fx, F виставляється здобувачу освіти, який має невідпрацьовані пропущені заняття та (або) середнє арифметичне всіх оцінок за кожне заняття менше ніж 3,0. 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lastRenderedPageBreak/>
              <w:t xml:space="preserve">Fx*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форма контролю: залік або іспит;</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форма контролю: залік або іспит;</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здобувач освіти тричі не склав підсумковий контроль.</w:t>
            </w:r>
          </w:p>
        </w:tc>
      </w:tr>
      <w:tr w:rsidR="00924541">
        <w:trPr>
          <w:jc w:val="center"/>
        </w:trPr>
        <w:tc>
          <w:tcPr>
            <w:tcW w:w="1100"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Оцінювання</w:t>
            </w:r>
          </w:p>
        </w:tc>
        <w:tc>
          <w:tcPr>
            <w:tcW w:w="2156"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Складові</w:t>
            </w:r>
          </w:p>
        </w:tc>
        <w:tc>
          <w:tcPr>
            <w:tcW w:w="3260"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Середнє арифметичне з оцінок за кожне заняття всіх семестрів</w:t>
            </w:r>
          </w:p>
        </w:tc>
        <w:tc>
          <w:tcPr>
            <w:tcW w:w="1672"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Оцінка ECTS з освітнього компонента</w:t>
            </w:r>
          </w:p>
        </w:tc>
      </w:tr>
      <w:tr w:rsidR="00924541">
        <w:trPr>
          <w:jc w:val="center"/>
        </w:trPr>
        <w:tc>
          <w:tcPr>
            <w:tcW w:w="1100" w:type="dxa"/>
            <w:gridSpan w:val="3"/>
            <w:vMerge w:val="restart"/>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200</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4.0-4.99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160-199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В, С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120-159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 Е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0-119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Fx, F (не зараховано)</w:t>
            </w:r>
          </w:p>
        </w:tc>
      </w:tr>
      <w:tr w:rsidR="00924541">
        <w:trPr>
          <w:jc w:val="center"/>
        </w:trPr>
        <w:tc>
          <w:tcPr>
            <w:tcW w:w="10201" w:type="dxa"/>
            <w:gridSpan w:val="19"/>
            <w:vAlign w:val="center"/>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16"/>
                <w:szCs w:val="16"/>
              </w:rPr>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trPr>
          <w:jc w:val="center"/>
        </w:trPr>
        <w:tc>
          <w:tcPr>
            <w:tcW w:w="10201" w:type="dxa"/>
            <w:gridSpan w:val="19"/>
            <w:vAlign w:val="center"/>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Форма контролю «Залік» (освітній компонент вивчається протягом декількох семестрів семестру): </w:t>
            </w:r>
          </w:p>
          <w:p w:rsidR="00924541" w:rsidRDefault="005B26BB">
            <w:pPr>
              <w:pBdr>
                <w:top w:val="nil"/>
                <w:left w:val="nil"/>
                <w:bottom w:val="nil"/>
                <w:right w:val="nil"/>
                <w:between w:val="nil"/>
              </w:pBdr>
              <w:tabs>
                <w:tab w:val="left" w:pos="709"/>
              </w:tabs>
              <w:spacing w:after="0" w:line="240" w:lineRule="auto"/>
              <w:ind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Якщо освітній компонент вивчається протягом декількох семестрів і  завершується формою контролю – «залік», тоді підраховується середнє арифметичне з оцінок за кожний проміжний залік попередніх семестрів та останнього семестру і конвертується у 200-бальну шкалу та в оцінку ECTS, в яких вивчається освітній компонент, після чого результат фіксується в журналі академічної успішності. У відомості обліку успішності (останній семестр вивчення освітнього компонента) проставляються набрані здобувачем освіти бали за 200-бальною системою оцінювання та оцінка в системі ECTS, загальна кількість годин за освітній компонент (всі семестри вивчення) та семестри в яких вивчався освітній компонент. Оцінка А, В, С, D, Е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відомість викладач вносить оцінку у день складання заліку. </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Fx*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 за поточну успішність;</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здобувач освіти не склав іспит (отримав менше 50 балів).</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 за поточну успішність;</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здобувач освіти тричі не склав підсумковий контроль.</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trPr>
          <w:jc w:val="center"/>
        </w:trPr>
        <w:tc>
          <w:tcPr>
            <w:tcW w:w="1100"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Оцінювання</w:t>
            </w:r>
          </w:p>
        </w:tc>
        <w:tc>
          <w:tcPr>
            <w:tcW w:w="2156"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Складові</w:t>
            </w:r>
          </w:p>
        </w:tc>
        <w:tc>
          <w:tcPr>
            <w:tcW w:w="3260"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Середнє арифметичне з оцінок за кожне заняття всіх семестрів</w:t>
            </w:r>
          </w:p>
        </w:tc>
        <w:tc>
          <w:tcPr>
            <w:tcW w:w="1672"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Оцінка ECTS з освітнього компонента</w:t>
            </w:r>
          </w:p>
        </w:tc>
      </w:tr>
      <w:tr w:rsidR="00924541">
        <w:trPr>
          <w:jc w:val="center"/>
        </w:trPr>
        <w:tc>
          <w:tcPr>
            <w:tcW w:w="1100" w:type="dxa"/>
            <w:gridSpan w:val="3"/>
            <w:vMerge w:val="restart"/>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Поточна успішність</w:t>
            </w:r>
          </w:p>
        </w:tc>
        <w:tc>
          <w:tcPr>
            <w:tcW w:w="2156" w:type="dxa"/>
            <w:gridSpan w:val="3"/>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200</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4.0-4.99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160-199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В, С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120-159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D, Е (зараховано)</w:t>
            </w:r>
          </w:p>
        </w:tc>
      </w:tr>
      <w:tr w:rsidR="00924541">
        <w:trPr>
          <w:jc w:val="center"/>
        </w:trPr>
        <w:tc>
          <w:tcPr>
            <w:tcW w:w="1100"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2156" w:type="dxa"/>
            <w:gridSpan w:val="3"/>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260"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0-119</w:t>
            </w:r>
          </w:p>
        </w:tc>
        <w:tc>
          <w:tcPr>
            <w:tcW w:w="2013" w:type="dxa"/>
            <w:gridSpan w:val="5"/>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Fx, F (не зараховано)</w:t>
            </w:r>
          </w:p>
        </w:tc>
      </w:tr>
      <w:tr w:rsidR="00924541">
        <w:trPr>
          <w:jc w:val="center"/>
        </w:trPr>
        <w:tc>
          <w:tcPr>
            <w:tcW w:w="10201" w:type="dxa"/>
            <w:gridSpan w:val="19"/>
            <w:vAlign w:val="center"/>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*відповідно до таблиці «Шкала перерахунку оцінок за поточну успішність за чотирибальною системою у 200-бальну систему оцінювання для освітніх компонентів, що закінчуються проміжним заліком/заліком»</w:t>
            </w:r>
          </w:p>
        </w:tc>
      </w:tr>
      <w:tr w:rsidR="00924541">
        <w:trPr>
          <w:jc w:val="center"/>
        </w:trPr>
        <w:tc>
          <w:tcPr>
            <w:tcW w:w="10201" w:type="dxa"/>
            <w:gridSpan w:val="19"/>
          </w:tcPr>
          <w:p w:rsidR="00924541" w:rsidRDefault="005B26BB">
            <w:pPr>
              <w:pBdr>
                <w:top w:val="nil"/>
                <w:left w:val="nil"/>
                <w:bottom w:val="nil"/>
                <w:right w:val="nil"/>
                <w:between w:val="nil"/>
              </w:pBdr>
              <w:tabs>
                <w:tab w:val="left" w:pos="709"/>
              </w:tabs>
              <w:spacing w:after="0" w:line="240" w:lineRule="auto"/>
              <w:jc w:val="both"/>
              <w:rPr>
                <w:rFonts w:ascii="Times New Roman" w:eastAsia="Times New Roman" w:hAnsi="Times New Roman" w:cs="Times New Roman"/>
                <w:b/>
                <w:bCs/>
                <w:color w:val="000000"/>
                <w:sz w:val="20"/>
                <w:szCs w:val="20"/>
              </w:rPr>
            </w:pPr>
            <w:r>
              <w:rPr>
                <w:rFonts w:ascii="Times New Roman" w:eastAsia="Times New Roman" w:hAnsi="Times New Roman" w:cs="Times New Roman"/>
                <w:b/>
                <w:bCs/>
                <w:color w:val="000000"/>
                <w:sz w:val="20"/>
                <w:szCs w:val="20"/>
              </w:rPr>
              <w:t xml:space="preserve">Форма контролю «Іспит»: </w:t>
            </w:r>
          </w:p>
          <w:p w:rsidR="00924541" w:rsidRDefault="005B26BB">
            <w:pPr>
              <w:pBdr>
                <w:top w:val="nil"/>
                <w:left w:val="nil"/>
                <w:bottom w:val="nil"/>
                <w:right w:val="nil"/>
                <w:between w:val="nil"/>
              </w:pBdr>
              <w:spacing w:after="0" w:line="240" w:lineRule="auto"/>
              <w:ind w:right="4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Якщо освітній компонент вивчається протягом декількох семестрів і  завершується формою контролю – «Іспит», тоді оцінка за освітній компонент є сумарною оцінкою, що складається з оцінки за поточну успішність здобувача освіти за всі семестри (підраховується середнє арифметичне з оцінок за кожний проміжний залік </w:t>
            </w:r>
            <w:r>
              <w:rPr>
                <w:rFonts w:ascii="Times New Roman" w:eastAsia="Times New Roman" w:hAnsi="Times New Roman" w:cs="Times New Roman"/>
                <w:color w:val="000000"/>
                <w:sz w:val="20"/>
                <w:szCs w:val="20"/>
              </w:rPr>
              <w:lastRenderedPageBreak/>
              <w:t xml:space="preserve">попередніх семестрів та останнього семестру і конвертується у 120-бальну шкалу), в яких вивчається освітній компонент, та результату складання іспиту (за 80 бальною шкалою). </w:t>
            </w:r>
          </w:p>
          <w:p w:rsidR="00924541" w:rsidRDefault="005B26BB">
            <w:pPr>
              <w:pBdr>
                <w:top w:val="nil"/>
                <w:left w:val="nil"/>
                <w:bottom w:val="nil"/>
                <w:right w:val="nil"/>
                <w:between w:val="nil"/>
              </w:pBdr>
              <w:spacing w:after="0"/>
              <w:ind w:right="40" w:firstLine="567"/>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Мінімальна кількість балів, яку здобувач освіти повинен отримати за поточну успішність для допуску до складання іспиту – 72 бали (середній бал 3,0).</w:t>
            </w:r>
          </w:p>
          <w:p w:rsidR="00924541"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Іспит складається з трьох частин: </w:t>
            </w:r>
          </w:p>
          <w:p w:rsidR="00924541"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екзаменаційне тестування на платформі PrExam; </w:t>
            </w:r>
          </w:p>
          <w:p w:rsidR="00924541"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оцінювання рівня теоретичної підготовки (як правило три запитання);</w:t>
            </w:r>
          </w:p>
          <w:p w:rsidR="00924541" w:rsidRDefault="005B26BB">
            <w:pPr>
              <w:pBdr>
                <w:top w:val="nil"/>
                <w:left w:val="nil"/>
                <w:bottom w:val="nil"/>
                <w:right w:val="nil"/>
                <w:between w:val="nil"/>
              </w:pBdr>
              <w:spacing w:after="0"/>
              <w:ind w:firstLine="70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оцінювання рівня практичної підготовки (як правило одне завдання). </w:t>
            </w:r>
          </w:p>
          <w:p w:rsidR="00924541"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екзаменаційне тестування на платформі PrExam: 0 або 30 балів, де «не склав» - 0 балів, «склав» – 30 балів;</w:t>
            </w:r>
          </w:p>
          <w:p w:rsidR="00924541"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оцінювання рівня теоретичної підготовки: 0 - 30 балів:</w:t>
            </w:r>
          </w:p>
          <w:p w:rsidR="00924541" w:rsidRDefault="005B26BB">
            <w:pPr>
              <w:pBdr>
                <w:top w:val="nil"/>
                <w:left w:val="nil"/>
                <w:bottom w:val="nil"/>
                <w:right w:val="nil"/>
                <w:between w:val="nil"/>
              </w:pBdr>
              <w:spacing w:after="0" w:line="240" w:lineRule="auto"/>
              <w:ind w:right="4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оцінювання рівня практичної підготовки: 0 - 20 балів.</w:t>
            </w:r>
          </w:p>
        </w:tc>
      </w:tr>
      <w:tr w:rsidR="00924541">
        <w:trPr>
          <w:jc w:val="center"/>
        </w:trPr>
        <w:tc>
          <w:tcPr>
            <w:tcW w:w="10201" w:type="dxa"/>
            <w:gridSpan w:val="19"/>
            <w:shd w:val="clear" w:color="auto" w:fill="E7E6E6"/>
          </w:tcPr>
          <w:p w:rsidR="00924541" w:rsidRDefault="005B26BB">
            <w:pPr>
              <w:jc w:val="center"/>
              <w:rPr>
                <w:rFonts w:ascii="Times New Roman" w:eastAsia="Times New Roman" w:hAnsi="Times New Roman" w:cs="Times New Roman"/>
                <w:b/>
                <w:bCs/>
                <w:sz w:val="28"/>
                <w:szCs w:val="28"/>
              </w:rPr>
            </w:pPr>
            <w:r>
              <w:rPr>
                <w:rFonts w:ascii="Times New Roman" w:eastAsia="Times New Roman" w:hAnsi="Times New Roman" w:cs="Times New Roman"/>
                <w:b/>
                <w:bCs/>
                <w:sz w:val="20"/>
                <w:szCs w:val="20"/>
              </w:rPr>
              <w:lastRenderedPageBreak/>
              <w:t>Рекомендований регламент проведення та критерії оцінювання іспиту</w:t>
            </w:r>
          </w:p>
        </w:tc>
      </w:tr>
      <w:tr w:rsidR="00924541">
        <w:trPr>
          <w:jc w:val="center"/>
        </w:trPr>
        <w:tc>
          <w:tcPr>
            <w:tcW w:w="1049" w:type="dxa"/>
            <w:gridSpan w:val="2"/>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 п/п</w:t>
            </w:r>
          </w:p>
        </w:tc>
        <w:tc>
          <w:tcPr>
            <w:tcW w:w="2207"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Складова (вид роботи)</w:t>
            </w: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Дескриптор</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Балів</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Всього</w:t>
            </w:r>
          </w:p>
        </w:tc>
      </w:tr>
      <w:tr w:rsidR="00924541">
        <w:trPr>
          <w:jc w:val="center"/>
        </w:trPr>
        <w:tc>
          <w:tcPr>
            <w:tcW w:w="1049" w:type="dxa"/>
            <w:gridSpan w:val="2"/>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w:t>
            </w:r>
          </w:p>
        </w:tc>
        <w:tc>
          <w:tcPr>
            <w:tcW w:w="2207" w:type="dxa"/>
            <w:gridSpan w:val="4"/>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Екзаменаційне тестування на платформі PrExam</w:t>
            </w: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Тестові завдання складені на 85-100%</w:t>
            </w:r>
          </w:p>
        </w:tc>
        <w:tc>
          <w:tcPr>
            <w:tcW w:w="851" w:type="dxa"/>
            <w:gridSpan w:val="2"/>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Склав</w:t>
            </w:r>
          </w:p>
        </w:tc>
        <w:tc>
          <w:tcPr>
            <w:tcW w:w="567" w:type="dxa"/>
            <w:gridSpan w:val="2"/>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r>
      <w:tr w:rsidR="00924541">
        <w:trPr>
          <w:jc w:val="center"/>
        </w:trPr>
        <w:tc>
          <w:tcPr>
            <w:tcW w:w="1049" w:type="dxa"/>
            <w:gridSpan w:val="2"/>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Тестові завдання складені менше ніж на 85%</w:t>
            </w:r>
          </w:p>
        </w:tc>
        <w:tc>
          <w:tcPr>
            <w:tcW w:w="851" w:type="dxa"/>
            <w:gridSpan w:val="2"/>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Не склав</w:t>
            </w:r>
          </w:p>
        </w:tc>
        <w:tc>
          <w:tcPr>
            <w:tcW w:w="567" w:type="dxa"/>
            <w:gridSpan w:val="2"/>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24541">
        <w:trPr>
          <w:jc w:val="center"/>
        </w:trPr>
        <w:tc>
          <w:tcPr>
            <w:tcW w:w="1049" w:type="dxa"/>
            <w:gridSpan w:val="2"/>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w:t>
            </w:r>
          </w:p>
        </w:tc>
        <w:tc>
          <w:tcPr>
            <w:tcW w:w="2207" w:type="dxa"/>
            <w:gridSpan w:val="4"/>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Оцінювання рівня теоретичної підготовки (співбесіда за білетом)</w:t>
            </w: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вільно володіє навчальним матеріалом і термінологією. Правильно та змістовно висловлює свої думки, дає вичерпні точні відповіді на поставлені запитання</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30</w:t>
            </w:r>
          </w:p>
        </w:tc>
      </w:tr>
      <w:tr w:rsidR="00924541">
        <w:trPr>
          <w:jc w:val="center"/>
        </w:trPr>
        <w:tc>
          <w:tcPr>
            <w:tcW w:w="1049" w:type="dxa"/>
            <w:gridSpan w:val="2"/>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має грунтовні знання, вміє застосовувати їх на практиці, але допускає неточності, окремі помилки у формулюванні відповідей. Не може викласти думку, але на запитання з підказками відповідає правильно.</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5</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15</w:t>
            </w:r>
          </w:p>
        </w:tc>
      </w:tr>
      <w:tr w:rsidR="00924541">
        <w:trPr>
          <w:jc w:val="center"/>
        </w:trPr>
        <w:tc>
          <w:tcPr>
            <w:tcW w:w="1049" w:type="dxa"/>
            <w:gridSpan w:val="2"/>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має прогалини в знаннях. Замість чіткого змістовного визначення пояснює матеріал на побутовому рівні. Не наводить приклади.</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24541">
        <w:trPr>
          <w:trHeight w:val="960"/>
          <w:jc w:val="center"/>
        </w:trPr>
        <w:tc>
          <w:tcPr>
            <w:tcW w:w="1049" w:type="dxa"/>
            <w:gridSpan w:val="2"/>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3</w:t>
            </w:r>
          </w:p>
        </w:tc>
        <w:tc>
          <w:tcPr>
            <w:tcW w:w="2207" w:type="dxa"/>
            <w:gridSpan w:val="4"/>
            <w:vMerge w:val="restart"/>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Оцінювання рівня практичної підготовки (розв’язання ситуаційної задачі (клінічної) /виконання практичної навички)</w:t>
            </w:r>
          </w:p>
        </w:tc>
        <w:tc>
          <w:tcPr>
            <w:tcW w:w="4677" w:type="dxa"/>
            <w:gridSpan w:val="7"/>
            <w:tcBorders>
              <w:right w:val="single" w:sz="4" w:space="0" w:color="000000"/>
            </w:tcBorders>
            <w:shd w:val="clear" w:color="auto" w:fill="FFFFFF"/>
            <w:vAlign w:val="center"/>
          </w:tcPr>
          <w:p w:rsidR="00924541" w:rsidRDefault="005B26BB">
            <w:pPr>
              <w:spacing w:before="60" w:after="6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Здобувач освіти надав правильну, повну відповідь на запитання задачі/практична навичка виконана правильно відповідно до алгоритму</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20</w:t>
            </w:r>
          </w:p>
        </w:tc>
      </w:tr>
      <w:tr w:rsidR="00924541">
        <w:trPr>
          <w:trHeight w:val="665"/>
          <w:jc w:val="center"/>
        </w:trPr>
        <w:tc>
          <w:tcPr>
            <w:tcW w:w="1049" w:type="dxa"/>
            <w:gridSpan w:val="2"/>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Default="005B26BB">
            <w:pPr>
              <w:spacing w:before="60" w:after="60"/>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Здобувач освіти надав правильну але не повну відповідь на запитання задачі/практична навичка виконана з незначними порушеннями</w:t>
            </w:r>
          </w:p>
        </w:tc>
        <w:tc>
          <w:tcPr>
            <w:tcW w:w="1418" w:type="dxa"/>
            <w:gridSpan w:val="4"/>
            <w:tcBorders>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10</w:t>
            </w:r>
          </w:p>
        </w:tc>
      </w:tr>
      <w:tr w:rsidR="00924541">
        <w:trPr>
          <w:jc w:val="center"/>
        </w:trPr>
        <w:tc>
          <w:tcPr>
            <w:tcW w:w="1049" w:type="dxa"/>
            <w:gridSpan w:val="2"/>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2207" w:type="dxa"/>
            <w:gridSpan w:val="4"/>
            <w:vMerge/>
            <w:tcBorders>
              <w:right w:val="single" w:sz="4" w:space="0" w:color="000000"/>
            </w:tcBorders>
            <w:shd w:val="clear" w:color="auto" w:fill="FFFFFF"/>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color w:val="000000"/>
                <w:sz w:val="16"/>
                <w:szCs w:val="16"/>
              </w:rPr>
            </w:pPr>
          </w:p>
        </w:tc>
        <w:tc>
          <w:tcPr>
            <w:tcW w:w="4677" w:type="dxa"/>
            <w:gridSpan w:val="7"/>
            <w:tcBorders>
              <w:right w:val="single" w:sz="4" w:space="0" w:color="000000"/>
            </w:tcBorders>
            <w:shd w:val="clear" w:color="auto" w:fill="FFFFFF"/>
            <w:vAlign w:val="center"/>
          </w:tcPr>
          <w:p w:rsidR="00924541" w:rsidRDefault="005B26BB">
            <w:pPr>
              <w:pBdr>
                <w:top w:val="nil"/>
                <w:left w:val="nil"/>
                <w:bottom w:val="nil"/>
                <w:right w:val="nil"/>
                <w:between w:val="nil"/>
              </w:pBdr>
              <w:tabs>
                <w:tab w:val="left" w:pos="709"/>
              </w:tabs>
              <w:spacing w:after="0" w:line="240" w:lineRule="auto"/>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Здобувач освіти надав неправильну відповідь або відповідь відсутня/ під час виконання практичних навичок, маніпуляцій допускає значні та критичні помилки.</w:t>
            </w:r>
          </w:p>
        </w:tc>
        <w:tc>
          <w:tcPr>
            <w:tcW w:w="1418" w:type="dxa"/>
            <w:gridSpan w:val="4"/>
            <w:tcBorders>
              <w:left w:val="single" w:sz="4" w:space="0" w:color="000000"/>
              <w:righ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c>
          <w:tcPr>
            <w:tcW w:w="850" w:type="dxa"/>
            <w:gridSpan w:val="2"/>
            <w:tcBorders>
              <w:left w:val="single" w:sz="4" w:space="0" w:color="000000"/>
            </w:tcBorders>
            <w:shd w:val="clear" w:color="auto" w:fill="FFFFFF"/>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0</w:t>
            </w:r>
          </w:p>
        </w:tc>
      </w:tr>
      <w:tr w:rsidR="00924541">
        <w:trPr>
          <w:jc w:val="center"/>
        </w:trPr>
        <w:tc>
          <w:tcPr>
            <w:tcW w:w="10201" w:type="dxa"/>
            <w:gridSpan w:val="19"/>
            <w:shd w:val="clear" w:color="auto" w:fill="FFFFFF"/>
          </w:tcPr>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Загальна оцінка за іспит:  «складено» - 50-80 балів; «не складено» - нижче 50 балів. Якщо здобувач освіти отримує на іспиті менше 50 балів, йому виставляється загальна оцінка за освітній компонент Fx, а деканат відповідного факультету надає йому можливість ще двічі спроби складання іспиту.</w:t>
            </w:r>
          </w:p>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Екзаменаційне тестування на платформі PrExam складається в день складання іспиту у присутності екзаменатора в приміщенні Університету. </w:t>
            </w:r>
          </w:p>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До теоретичної та практичної частини іспиту допускаються здобувачі освіти, які отримали «склав» за екзаменаційне тестування на платформі PrExam. </w:t>
            </w:r>
          </w:p>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Після складання іспиту оцінки за поточну діяльність здобувача освіти за всі семестри (за 120 бальною шкалою) та результату складання іспиту (за 80 бальною шкалою) складаються і конвертуються в оцінку ECTS, після чого результат конвертації фіксується в журналі академічної успішності. </w:t>
            </w:r>
          </w:p>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У відомості обліку успішності (останній семестр вивчення освітнього компонента) проставляються запис набрані здобувачем освіти бали за 200-бальною шкалою та оцінка в системі ECTS, загальна кількість годин за освітній компонент (всі семестри вивчення) та семестри в яких вивчався освітній компонент. Оцінка А, В, С, D, Е виставляється здобувачу освіти, який не має пропущених та невідпрацьованих занять та у якого середнє арифметичне оцінок за поточну успішність не менше, ніж 3.0 (допускається наявність не більше 10% негативних оцінок («2») від загальної кількості занять), що відповідає 120 балам згідно 200-бальної шкали. Такий самий запис робиться і в  індивідуальному навчальному плані здобувача освіти з обов’язковим внесенням кількості годин, кредитів та оцінкою за освітній компонент за шкалою ECTS. В відомість викладач вносить оцінку у день складання заліку.</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Fx*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НЕ перевищує 50% від загальної кількості оцінок за поточну успішність;</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Якщо здобувач освіти не склав іспит (отримав менше 50 балів).</w:t>
            </w:r>
          </w:p>
          <w:p w:rsidR="00924541" w:rsidRDefault="005B26BB">
            <w:pPr>
              <w:widowControl w:val="0"/>
              <w:pBdr>
                <w:top w:val="nil"/>
                <w:left w:val="nil"/>
                <w:bottom w:val="nil"/>
                <w:right w:val="nil"/>
                <w:between w:val="nil"/>
              </w:pBd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 - виставляється здобувачу освіту якщо: </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кількість «нб» (з неповажної причини) або «2» - 50% та більше від загальної кількості оцінок за поточну успішність;</w:t>
            </w:r>
          </w:p>
          <w:p w:rsidR="00924541" w:rsidRDefault="005B26BB">
            <w:pPr>
              <w:widowControl w:val="0"/>
              <w:numPr>
                <w:ilvl w:val="0"/>
                <w:numId w:val="1"/>
              </w:numPr>
              <w:pBdr>
                <w:top w:val="nil"/>
                <w:left w:val="nil"/>
                <w:bottom w:val="nil"/>
                <w:right w:val="nil"/>
                <w:between w:val="nil"/>
              </w:pBdr>
              <w:spacing w:after="0"/>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lastRenderedPageBreak/>
              <w:t>якщо здобувач освіти тричі не склав підсумковий контроль.</w:t>
            </w:r>
          </w:p>
          <w:p w:rsidR="00924541" w:rsidRDefault="005B26BB">
            <w:pPr>
              <w:pBdr>
                <w:top w:val="nil"/>
                <w:left w:val="nil"/>
                <w:bottom w:val="nil"/>
                <w:right w:val="nil"/>
                <w:between w:val="nil"/>
              </w:pBdr>
              <w:spacing w:after="0" w:line="240" w:lineRule="auto"/>
              <w:ind w:right="40" w:firstLine="720"/>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Такий самий запис робиться і в індивідуальному навчальному плані здобувача освіти з обов’язковим внесенням кількості годин (кредитів), набраних балів.</w:t>
            </w:r>
          </w:p>
        </w:tc>
      </w:tr>
      <w:tr w:rsidR="00924541">
        <w:trPr>
          <w:jc w:val="center"/>
        </w:trPr>
        <w:tc>
          <w:tcPr>
            <w:tcW w:w="1383" w:type="dxa"/>
            <w:gridSpan w:val="4"/>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lastRenderedPageBreak/>
              <w:t>Оцінювання</w:t>
            </w:r>
          </w:p>
        </w:tc>
        <w:tc>
          <w:tcPr>
            <w:tcW w:w="3148"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Складові</w:t>
            </w:r>
          </w:p>
        </w:tc>
        <w:tc>
          <w:tcPr>
            <w:tcW w:w="1985" w:type="dxa"/>
            <w:gridSpan w:val="2"/>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Середнє арифметичне з оцінок за кожне заняття</w:t>
            </w:r>
          </w:p>
        </w:tc>
        <w:tc>
          <w:tcPr>
            <w:tcW w:w="1672" w:type="dxa"/>
            <w:gridSpan w:val="3"/>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Конвертація у 200-бальну шкалу</w:t>
            </w:r>
          </w:p>
        </w:tc>
        <w:tc>
          <w:tcPr>
            <w:tcW w:w="2013" w:type="dxa"/>
            <w:gridSpan w:val="5"/>
            <w:vAlign w:val="center"/>
          </w:tcPr>
          <w:p w:rsidR="00924541" w:rsidRDefault="005B26BB">
            <w:pPr>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Оцінка з освітнього компонента за 200-бальною шкалою</w:t>
            </w:r>
          </w:p>
        </w:tc>
      </w:tr>
      <w:tr w:rsidR="00924541">
        <w:trPr>
          <w:jc w:val="center"/>
        </w:trPr>
        <w:tc>
          <w:tcPr>
            <w:tcW w:w="1383" w:type="dxa"/>
            <w:gridSpan w:val="4"/>
            <w:vMerge w:val="restart"/>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Поточна успішність</w:t>
            </w:r>
          </w:p>
        </w:tc>
        <w:tc>
          <w:tcPr>
            <w:tcW w:w="3148" w:type="dxa"/>
            <w:gridSpan w:val="5"/>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Аудиторні заняття (лабораторні, семінарські, практичні заняття, самостійна робота)</w:t>
            </w:r>
          </w:p>
        </w:tc>
        <w:tc>
          <w:tcPr>
            <w:tcW w:w="1985" w:type="dxa"/>
            <w:gridSpan w:val="2"/>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5</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120</w:t>
            </w:r>
          </w:p>
        </w:tc>
        <w:tc>
          <w:tcPr>
            <w:tcW w:w="2013" w:type="dxa"/>
            <w:gridSpan w:val="5"/>
            <w:vMerge w:val="restart"/>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0-120</w:t>
            </w:r>
          </w:p>
        </w:tc>
      </w:tr>
      <w:tr w:rsidR="00924541">
        <w:trPr>
          <w:jc w:val="center"/>
        </w:trPr>
        <w:tc>
          <w:tcPr>
            <w:tcW w:w="1383" w:type="dxa"/>
            <w:gridSpan w:val="4"/>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4.0-4.99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96-119</w:t>
            </w:r>
          </w:p>
        </w:tc>
        <w:tc>
          <w:tcPr>
            <w:tcW w:w="2013"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trPr>
          <w:jc w:val="center"/>
        </w:trPr>
        <w:tc>
          <w:tcPr>
            <w:tcW w:w="1383" w:type="dxa"/>
            <w:gridSpan w:val="4"/>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3.0-3.99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72-95</w:t>
            </w:r>
          </w:p>
        </w:tc>
        <w:tc>
          <w:tcPr>
            <w:tcW w:w="2013"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trPr>
          <w:jc w:val="center"/>
        </w:trPr>
        <w:tc>
          <w:tcPr>
            <w:tcW w:w="1383" w:type="dxa"/>
            <w:gridSpan w:val="4"/>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1985" w:type="dxa"/>
            <w:gridSpan w:val="2"/>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0-2.99</w:t>
            </w:r>
          </w:p>
        </w:tc>
        <w:tc>
          <w:tcPr>
            <w:tcW w:w="1672" w:type="dxa"/>
            <w:gridSpan w:val="3"/>
            <w:vAlign w:val="center"/>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0-71</w:t>
            </w:r>
          </w:p>
        </w:tc>
        <w:tc>
          <w:tcPr>
            <w:tcW w:w="2013"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trPr>
          <w:jc w:val="center"/>
        </w:trPr>
        <w:tc>
          <w:tcPr>
            <w:tcW w:w="1383" w:type="dxa"/>
            <w:gridSpan w:val="4"/>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Іспит</w:t>
            </w:r>
          </w:p>
        </w:tc>
        <w:tc>
          <w:tcPr>
            <w:tcW w:w="3148" w:type="dxa"/>
            <w:gridSpan w:val="5"/>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Екзаменаційне тестування на платформі PrExam</w:t>
            </w:r>
          </w:p>
        </w:tc>
        <w:tc>
          <w:tcPr>
            <w:tcW w:w="1985" w:type="dxa"/>
            <w:gridSpan w:val="2"/>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672" w:type="dxa"/>
            <w:gridSpan w:val="3"/>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0-30</w:t>
            </w:r>
          </w:p>
        </w:tc>
        <w:tc>
          <w:tcPr>
            <w:tcW w:w="2013" w:type="dxa"/>
            <w:gridSpan w:val="5"/>
            <w:vMerge w:val="restart"/>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0-80</w:t>
            </w:r>
          </w:p>
        </w:tc>
      </w:tr>
      <w:tr w:rsidR="00924541">
        <w:trPr>
          <w:jc w:val="center"/>
        </w:trPr>
        <w:tc>
          <w:tcPr>
            <w:tcW w:w="1383" w:type="dxa"/>
            <w:gridSpan w:val="4"/>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Оцінювання рівня теоретичної підготовки</w:t>
            </w:r>
          </w:p>
        </w:tc>
        <w:tc>
          <w:tcPr>
            <w:tcW w:w="1985" w:type="dxa"/>
            <w:gridSpan w:val="2"/>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672" w:type="dxa"/>
            <w:gridSpan w:val="3"/>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0-30</w:t>
            </w:r>
          </w:p>
        </w:tc>
        <w:tc>
          <w:tcPr>
            <w:tcW w:w="2013"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trPr>
          <w:jc w:val="center"/>
        </w:trPr>
        <w:tc>
          <w:tcPr>
            <w:tcW w:w="1383" w:type="dxa"/>
            <w:gridSpan w:val="4"/>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c>
          <w:tcPr>
            <w:tcW w:w="3148" w:type="dxa"/>
            <w:gridSpan w:val="5"/>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Оцінювання рівня практичної підготовки</w:t>
            </w:r>
          </w:p>
        </w:tc>
        <w:tc>
          <w:tcPr>
            <w:tcW w:w="1985" w:type="dxa"/>
            <w:gridSpan w:val="2"/>
            <w:vAlign w:val="center"/>
          </w:tcPr>
          <w:p w:rsidR="00924541" w:rsidRDefault="005B26BB">
            <w:pPr>
              <w:pBdr>
                <w:top w:val="nil"/>
                <w:left w:val="nil"/>
                <w:bottom w:val="nil"/>
                <w:right w:val="nil"/>
                <w:between w:val="nil"/>
              </w:pBdr>
              <w:spacing w:after="0" w:line="240" w:lineRule="auto"/>
              <w:ind w:right="40"/>
              <w:jc w:val="center"/>
              <w:rPr>
                <w:rFonts w:ascii="Times New Roman" w:eastAsia="Times New Roman" w:hAnsi="Times New Roman" w:cs="Times New Roman"/>
                <w:color w:val="000000"/>
                <w:sz w:val="16"/>
                <w:szCs w:val="16"/>
              </w:rPr>
            </w:pPr>
            <w:r>
              <w:rPr>
                <w:rFonts w:ascii="Times New Roman" w:eastAsia="Times New Roman" w:hAnsi="Times New Roman" w:cs="Times New Roman"/>
                <w:color w:val="000000"/>
                <w:sz w:val="16"/>
                <w:szCs w:val="16"/>
              </w:rPr>
              <w:t>-</w:t>
            </w:r>
          </w:p>
        </w:tc>
        <w:tc>
          <w:tcPr>
            <w:tcW w:w="1672" w:type="dxa"/>
            <w:gridSpan w:val="3"/>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0-20</w:t>
            </w:r>
          </w:p>
        </w:tc>
        <w:tc>
          <w:tcPr>
            <w:tcW w:w="2013" w:type="dxa"/>
            <w:gridSpan w:val="5"/>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sz w:val="16"/>
                <w:szCs w:val="16"/>
              </w:rPr>
            </w:pPr>
          </w:p>
        </w:tc>
      </w:tr>
      <w:tr w:rsidR="00924541">
        <w:trPr>
          <w:jc w:val="center"/>
        </w:trPr>
        <w:tc>
          <w:tcPr>
            <w:tcW w:w="8188" w:type="dxa"/>
            <w:gridSpan w:val="14"/>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Загальна підсумкова оцінка за освітній компонент</w:t>
            </w:r>
          </w:p>
        </w:tc>
        <w:tc>
          <w:tcPr>
            <w:tcW w:w="2013" w:type="dxa"/>
            <w:gridSpan w:val="5"/>
            <w:vAlign w:val="center"/>
          </w:tcPr>
          <w:p w:rsidR="00924541" w:rsidRDefault="005B26BB">
            <w:pPr>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0-200</w:t>
            </w:r>
          </w:p>
        </w:tc>
      </w:tr>
      <w:tr w:rsidR="00924541">
        <w:trPr>
          <w:jc w:val="center"/>
        </w:trPr>
        <w:tc>
          <w:tcPr>
            <w:tcW w:w="10201" w:type="dxa"/>
            <w:gridSpan w:val="19"/>
            <w:shd w:val="clear" w:color="auto" w:fill="E7E6E6"/>
          </w:tcPr>
          <w:p w:rsidR="00924541" w:rsidRDefault="005B26BB">
            <w:pPr>
              <w:widowControl w:val="0"/>
              <w:pBdr>
                <w:top w:val="nil"/>
                <w:left w:val="nil"/>
                <w:bottom w:val="nil"/>
                <w:right w:val="nil"/>
                <w:between w:val="nil"/>
              </w:pBdr>
              <w:jc w:val="center"/>
              <w:rPr>
                <w:rFonts w:ascii="Times New Roman" w:eastAsia="Times New Roman" w:hAnsi="Times New Roman" w:cs="Times New Roman"/>
                <w:sz w:val="20"/>
                <w:szCs w:val="20"/>
              </w:rPr>
            </w:pPr>
            <w:r>
              <w:rPr>
                <w:rFonts w:ascii="Times New Roman" w:eastAsia="Times New Roman" w:hAnsi="Times New Roman" w:cs="Times New Roman"/>
                <w:b/>
                <w:bCs/>
                <w:color w:val="000000"/>
                <w:sz w:val="20"/>
                <w:szCs w:val="20"/>
              </w:rPr>
              <w:t>Система оцінювання / Grading system</w:t>
            </w: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Бали за шкалою Університету / University grading scale</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Оцінка ECTS / ECTS grade</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Дескриптор / Descriptor</w:t>
            </w:r>
          </w:p>
        </w:tc>
        <w:tc>
          <w:tcPr>
            <w:tcW w:w="2546" w:type="dxa"/>
            <w:gridSpan w:val="7"/>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Зарахування кредитів / Awarding of credits</w:t>
            </w: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180 - 200</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A</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Відмінно / Excellent</w:t>
            </w:r>
          </w:p>
        </w:tc>
        <w:tc>
          <w:tcPr>
            <w:tcW w:w="2546" w:type="dxa"/>
            <w:gridSpan w:val="7"/>
            <w:vMerge w:val="restart"/>
            <w:vAlign w:val="center"/>
          </w:tcPr>
          <w:p w:rsidR="00924541" w:rsidRDefault="005B26BB">
            <w:pPr>
              <w:ind w:right="-8"/>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Зараховано / Passed</w:t>
            </w: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170 - 179</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B</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Дуже добре / Very Good</w:t>
            </w:r>
          </w:p>
        </w:tc>
        <w:tc>
          <w:tcPr>
            <w:tcW w:w="2546" w:type="dxa"/>
            <w:gridSpan w:val="7"/>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160 - 169</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C</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Добре / Good</w:t>
            </w:r>
          </w:p>
        </w:tc>
        <w:tc>
          <w:tcPr>
            <w:tcW w:w="2546" w:type="dxa"/>
            <w:gridSpan w:val="7"/>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141 - 159</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D</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Задовільно / Satisfactory</w:t>
            </w:r>
          </w:p>
        </w:tc>
        <w:tc>
          <w:tcPr>
            <w:tcW w:w="2546" w:type="dxa"/>
            <w:gridSpan w:val="7"/>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120 - 140</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E</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Достатньо / Sufficiently</w:t>
            </w:r>
          </w:p>
        </w:tc>
        <w:tc>
          <w:tcPr>
            <w:tcW w:w="2546" w:type="dxa"/>
            <w:gridSpan w:val="7"/>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r w:rsidR="00924541">
        <w:trPr>
          <w:jc w:val="center"/>
        </w:trPr>
        <w:tc>
          <w:tcPr>
            <w:tcW w:w="1667" w:type="dxa"/>
            <w:gridSpan w:val="5"/>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100 - 119</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Fx</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Незадовільно - з можливістю повторного складання підсумкового контролю / Unsatisfactory with possible re-passing of final assessment</w:t>
            </w:r>
          </w:p>
        </w:tc>
        <w:tc>
          <w:tcPr>
            <w:tcW w:w="2546" w:type="dxa"/>
            <w:gridSpan w:val="7"/>
            <w:vMerge w:val="restart"/>
            <w:vAlign w:val="center"/>
          </w:tcPr>
          <w:p w:rsidR="00924541" w:rsidRDefault="005B26BB">
            <w:pPr>
              <w:ind w:right="-8"/>
              <w:jc w:val="center"/>
              <w:rPr>
                <w:rFonts w:ascii="Times New Roman" w:eastAsia="Times New Roman" w:hAnsi="Times New Roman" w:cs="Times New Roman"/>
                <w:sz w:val="16"/>
                <w:szCs w:val="16"/>
              </w:rPr>
            </w:pPr>
            <w:r>
              <w:rPr>
                <w:rFonts w:ascii="Times New Roman" w:eastAsia="Times New Roman" w:hAnsi="Times New Roman" w:cs="Times New Roman"/>
                <w:sz w:val="16"/>
                <w:szCs w:val="16"/>
              </w:rPr>
              <w:t>Не зараховано / Failed</w:t>
            </w:r>
          </w:p>
        </w:tc>
      </w:tr>
      <w:tr w:rsidR="00924541">
        <w:trPr>
          <w:jc w:val="center"/>
        </w:trPr>
        <w:tc>
          <w:tcPr>
            <w:tcW w:w="1667" w:type="dxa"/>
            <w:gridSpan w:val="5"/>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sz w:val="16"/>
                <w:szCs w:val="16"/>
              </w:rPr>
              <w:t>1 - 99</w:t>
            </w:r>
          </w:p>
        </w:tc>
        <w:tc>
          <w:tcPr>
            <w:tcW w:w="1589" w:type="dxa"/>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F</w:t>
            </w:r>
          </w:p>
        </w:tc>
        <w:tc>
          <w:tcPr>
            <w:tcW w:w="4399" w:type="dxa"/>
            <w:gridSpan w:val="6"/>
            <w:vAlign w:val="center"/>
          </w:tcPr>
          <w:p w:rsidR="00924541" w:rsidRDefault="005B26BB">
            <w:pPr>
              <w:ind w:right="-8"/>
              <w:jc w:val="center"/>
              <w:rPr>
                <w:rFonts w:ascii="Times New Roman" w:eastAsia="Times New Roman" w:hAnsi="Times New Roman" w:cs="Times New Roman"/>
                <w:b/>
                <w:bCs/>
                <w:sz w:val="16"/>
                <w:szCs w:val="16"/>
              </w:rPr>
            </w:pPr>
            <w:r>
              <w:rPr>
                <w:rFonts w:ascii="Times New Roman" w:eastAsia="Times New Roman" w:hAnsi="Times New Roman" w:cs="Times New Roman"/>
                <w:b/>
                <w:bCs/>
                <w:sz w:val="16"/>
                <w:szCs w:val="16"/>
              </w:rPr>
              <w:t>Незадовільно - з обов’язковим повторним вивченням дисципліни / Unsatisfactory with the mandatory repeated study of discipline</w:t>
            </w:r>
          </w:p>
        </w:tc>
        <w:tc>
          <w:tcPr>
            <w:tcW w:w="2546" w:type="dxa"/>
            <w:gridSpan w:val="7"/>
            <w:vMerge/>
            <w:vAlign w:val="center"/>
          </w:tcPr>
          <w:p w:rsidR="00924541" w:rsidRDefault="00924541">
            <w:pPr>
              <w:widowControl w:val="0"/>
              <w:pBdr>
                <w:top w:val="nil"/>
                <w:left w:val="nil"/>
                <w:bottom w:val="nil"/>
                <w:right w:val="nil"/>
                <w:between w:val="nil"/>
              </w:pBdr>
              <w:spacing w:after="0"/>
              <w:rPr>
                <w:rFonts w:ascii="Times New Roman" w:eastAsia="Times New Roman" w:hAnsi="Times New Roman" w:cs="Times New Roman"/>
                <w:b/>
                <w:bCs/>
                <w:sz w:val="16"/>
                <w:szCs w:val="16"/>
              </w:rPr>
            </w:pPr>
          </w:p>
        </w:tc>
      </w:tr>
    </w:tbl>
    <w:p w:rsidR="00924541" w:rsidRDefault="00924541">
      <w:pPr>
        <w:spacing w:line="240" w:lineRule="auto"/>
        <w:rPr>
          <w:rFonts w:ascii="Times New Roman" w:eastAsia="Times New Roman" w:hAnsi="Times New Roman" w:cs="Times New Roman"/>
        </w:rPr>
      </w:pPr>
    </w:p>
    <w:tbl>
      <w:tblPr>
        <w:tblStyle w:val="aff3"/>
        <w:tblW w:w="10201" w:type="dxa"/>
        <w:jc w:val="cente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376"/>
        <w:gridCol w:w="7825"/>
      </w:tblGrid>
      <w:tr w:rsidR="00924541">
        <w:trPr>
          <w:jc w:val="center"/>
        </w:trPr>
        <w:tc>
          <w:tcPr>
            <w:tcW w:w="10201" w:type="dxa"/>
            <w:gridSpan w:val="2"/>
            <w:shd w:val="clear" w:color="auto" w:fill="E7E6E6"/>
            <w:vAlign w:val="center"/>
          </w:tcPr>
          <w:p w:rsidR="00924541" w:rsidRDefault="005B26BB">
            <w:pPr>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Інформаційні ресурси</w:t>
            </w:r>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Основна література</w:t>
            </w:r>
          </w:p>
        </w:tc>
        <w:tc>
          <w:tcPr>
            <w:tcW w:w="7825" w:type="dxa"/>
            <w:vAlign w:val="center"/>
          </w:tcPr>
          <w:p w:rsidR="00924541" w:rsidRDefault="005B26BB" w:rsidP="00613313">
            <w:pPr>
              <w:widowControl w:val="0"/>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Yu.V.Lysanets, O.M.Bieliaieva, M.P.Melaschenko Medical English for Academic Purposes: textbook. </w:t>
            </w:r>
          </w:p>
          <w:p w:rsidR="00EE0A66" w:rsidRDefault="005B26BB" w:rsidP="00613313">
            <w:pPr>
              <w:widowControl w:val="0"/>
              <w:pBdr>
                <w:top w:val="nil"/>
                <w:left w:val="nil"/>
                <w:bottom w:val="nil"/>
                <w:right w:val="nil"/>
                <w:between w:val="nil"/>
              </w:pBdr>
              <w:spacing w:after="0"/>
              <w:jc w:val="both"/>
              <w:rPr>
                <w:rFonts w:ascii="Times New Roman" w:eastAsia="Times New Roman" w:hAnsi="Times New Roman" w:cs="Times New Roman"/>
                <w:sz w:val="24"/>
                <w:szCs w:val="24"/>
                <w:lang w:val="en-US"/>
              </w:rPr>
            </w:pPr>
            <w:r>
              <w:rPr>
                <w:rFonts w:ascii="Times New Roman" w:eastAsia="Times New Roman" w:hAnsi="Times New Roman" w:cs="Times New Roman"/>
                <w:sz w:val="24"/>
                <w:szCs w:val="24"/>
              </w:rPr>
              <w:t>K.: AUS Medicine Publishing, 2018</w:t>
            </w:r>
          </w:p>
          <w:p w:rsidR="00924541" w:rsidRPr="00EE0A66" w:rsidRDefault="00A863AA" w:rsidP="00613313">
            <w:pPr>
              <w:widowControl w:val="0"/>
              <w:pBdr>
                <w:top w:val="nil"/>
                <w:left w:val="nil"/>
                <w:bottom w:val="nil"/>
                <w:right w:val="nil"/>
                <w:between w:val="nil"/>
              </w:pBdr>
              <w:spacing w:after="0"/>
              <w:jc w:val="both"/>
              <w:rPr>
                <w:rFonts w:ascii="Times New Roman" w:eastAsia="Times New Roman" w:hAnsi="Times New Roman" w:cs="Times New Roman"/>
                <w:sz w:val="24"/>
                <w:szCs w:val="24"/>
              </w:rPr>
            </w:pPr>
            <w:r w:rsidRPr="00A863AA">
              <w:rPr>
                <w:rFonts w:ascii="Times New Roman" w:eastAsia="Times New Roman" w:hAnsi="Times New Roman" w:cs="Times New Roman"/>
                <w:color w:val="0070C0"/>
                <w:szCs w:val="20"/>
              </w:rPr>
              <w:t>https://drive.google.com/file/d/17p0aHmRh0LYqt5Wu7otmM_84WzYZW95C/view?usp=drive_link</w:t>
            </w:r>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Допоміжна література</w:t>
            </w:r>
          </w:p>
        </w:tc>
        <w:tc>
          <w:tcPr>
            <w:tcW w:w="7825" w:type="dxa"/>
          </w:tcPr>
          <w:p w:rsidR="00A863AA" w:rsidRPr="00A863AA" w:rsidRDefault="00A863AA" w:rsidP="00613313">
            <w:pPr>
              <w:widowControl w:val="0"/>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lang w:val="en-US"/>
              </w:rPr>
              <w:t xml:space="preserve">Devi-Ellen </w:t>
            </w:r>
            <w:proofErr w:type="spellStart"/>
            <w:r>
              <w:rPr>
                <w:rFonts w:ascii="Times New Roman" w:eastAsia="Times New Roman" w:hAnsi="Times New Roman" w:cs="Times New Roman"/>
                <w:sz w:val="24"/>
                <w:szCs w:val="24"/>
                <w:lang w:val="en-US"/>
              </w:rPr>
              <w:t>Chabner</w:t>
            </w:r>
            <w:proofErr w:type="spellEnd"/>
            <w:r>
              <w:rPr>
                <w:rFonts w:ascii="Times New Roman" w:eastAsia="Times New Roman" w:hAnsi="Times New Roman" w:cs="Times New Roman"/>
                <w:sz w:val="24"/>
                <w:szCs w:val="24"/>
                <w:lang w:val="en-US"/>
              </w:rPr>
              <w:t>. Medical terminology. A short course.2018y.</w:t>
            </w:r>
          </w:p>
          <w:p w:rsidR="00A863AA" w:rsidRPr="00D33189" w:rsidRDefault="008F0C23" w:rsidP="00613313">
            <w:pPr>
              <w:widowControl w:val="0"/>
              <w:pBdr>
                <w:top w:val="nil"/>
                <w:left w:val="nil"/>
                <w:bottom w:val="nil"/>
                <w:right w:val="nil"/>
                <w:between w:val="nil"/>
              </w:pBdr>
              <w:spacing w:after="0" w:line="240" w:lineRule="auto"/>
              <w:ind w:left="599"/>
              <w:jc w:val="both"/>
              <w:rPr>
                <w:rFonts w:ascii="Times New Roman" w:eastAsia="Times New Roman" w:hAnsi="Times New Roman" w:cs="Times New Roman"/>
                <w:color w:val="0070C0"/>
                <w:sz w:val="24"/>
                <w:szCs w:val="24"/>
              </w:rPr>
            </w:pPr>
            <w:hyperlink r:id="rId20" w:history="1">
              <w:r w:rsidR="00A863AA" w:rsidRPr="00CD65FE">
                <w:rPr>
                  <w:rStyle w:val="a7"/>
                  <w:rFonts w:ascii="Times New Roman" w:eastAsia="Times New Roman" w:hAnsi="Times New Roman" w:cs="Times New Roman"/>
                  <w:color w:val="0070C0"/>
                  <w:sz w:val="24"/>
                  <w:szCs w:val="24"/>
                </w:rPr>
                <w:t>https://drive.google.com/file/d/1C1_GeReAsxtxqdVyvL2XzYbPIrwY0jDt/view?usp=drive_link</w:t>
              </w:r>
            </w:hyperlink>
            <w:r w:rsidR="00A863AA" w:rsidRPr="00D33189">
              <w:rPr>
                <w:rFonts w:ascii="Times New Roman" w:eastAsia="Times New Roman" w:hAnsi="Times New Roman" w:cs="Times New Roman"/>
                <w:color w:val="0070C0"/>
                <w:sz w:val="24"/>
                <w:szCs w:val="24"/>
              </w:rPr>
              <w:t xml:space="preserve"> </w:t>
            </w:r>
          </w:p>
          <w:p w:rsidR="00924541" w:rsidRDefault="005B26BB" w:rsidP="00613313">
            <w:pPr>
              <w:widowControl w:val="0"/>
              <w:numPr>
                <w:ilvl w:val="0"/>
                <w:numId w:val="2"/>
              </w:numPr>
              <w:pBdr>
                <w:top w:val="nil"/>
                <w:left w:val="nil"/>
                <w:bottom w:val="nil"/>
                <w:right w:val="nil"/>
                <w:between w:val="nil"/>
              </w:pBd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Foreign Language Proficiency Test: «Krok 1. Medicine»: manual / O.M. Bieliaieva, O.V. Hordiienko, Yu.V. Lysanets et al. (О.М. Бєляєва, О.В. Гордієнко, Ю.В. Лисанець та ін.; за редакцією O.M. Бєляєвої) Київ: ВСВ «Медицина», 2020. – 328 с.</w:t>
            </w:r>
          </w:p>
          <w:p w:rsidR="00A863AA" w:rsidRPr="00A81995" w:rsidRDefault="008F0C23" w:rsidP="00613313">
            <w:pPr>
              <w:pBdr>
                <w:top w:val="nil"/>
                <w:left w:val="nil"/>
                <w:bottom w:val="nil"/>
                <w:right w:val="nil"/>
                <w:between w:val="nil"/>
              </w:pBdr>
              <w:spacing w:after="0"/>
              <w:ind w:left="599"/>
              <w:rPr>
                <w:rFonts w:ascii="Times New Roman" w:eastAsia="Times New Roman" w:hAnsi="Times New Roman" w:cs="Times New Roman"/>
                <w:color w:val="00000A"/>
                <w:sz w:val="24"/>
                <w:szCs w:val="24"/>
                <w:lang w:val="uk-UA"/>
              </w:rPr>
            </w:pPr>
            <w:hyperlink r:id="rId21" w:history="1">
              <w:r w:rsidR="00A863AA" w:rsidRPr="00A863AA">
                <w:rPr>
                  <w:rStyle w:val="a7"/>
                  <w:rFonts w:ascii="Times New Roman" w:hAnsi="Times New Roman" w:cs="Times New Roman"/>
                </w:rPr>
                <w:t>https://drive.google.com/file/d/1qrWHbzlUrK96wtUwAgP_HKg1iHypr8Zt/vi</w:t>
              </w:r>
              <w:r w:rsidR="00A863AA" w:rsidRPr="00A863AA">
                <w:rPr>
                  <w:rStyle w:val="a7"/>
                  <w:rFonts w:ascii="Times New Roman" w:hAnsi="Times New Roman" w:cs="Times New Roman"/>
                </w:rPr>
                <w:lastRenderedPageBreak/>
                <w:t>ew?usp=drive_link</w:t>
              </w:r>
            </w:hyperlink>
            <w:r w:rsidR="00A81995">
              <w:rPr>
                <w:rStyle w:val="a7"/>
                <w:rFonts w:ascii="Times New Roman" w:hAnsi="Times New Roman" w:cs="Times New Roman"/>
                <w:lang w:val="uk-UA"/>
              </w:rPr>
              <w:t xml:space="preserve"> </w:t>
            </w:r>
          </w:p>
          <w:p w:rsidR="00924541" w:rsidRDefault="005B26BB" w:rsidP="00613313">
            <w:pPr>
              <w:numPr>
                <w:ilvl w:val="0"/>
                <w:numId w:val="2"/>
              </w:numPr>
              <w:pBdr>
                <w:top w:val="nil"/>
                <w:left w:val="nil"/>
                <w:bottom w:val="nil"/>
                <w:right w:val="nil"/>
                <w:between w:val="nil"/>
              </w:pBdr>
              <w:spacing w:after="0"/>
              <w:rPr>
                <w:rFonts w:ascii="Times New Roman" w:eastAsia="Times New Roman" w:hAnsi="Times New Roman" w:cs="Times New Roman"/>
                <w:color w:val="00000A"/>
                <w:sz w:val="24"/>
                <w:szCs w:val="24"/>
              </w:rPr>
            </w:pPr>
            <w:r>
              <w:rPr>
                <w:rFonts w:ascii="Times New Roman" w:eastAsia="Times New Roman" w:hAnsi="Times New Roman" w:cs="Times New Roman"/>
                <w:color w:val="00000A"/>
                <w:sz w:val="24"/>
                <w:szCs w:val="24"/>
              </w:rPr>
              <w:t xml:space="preserve">Sam McCarter, English for Careers: Medicine/ Oxford University press/pdf. </w:t>
            </w:r>
          </w:p>
          <w:p w:rsidR="00924541" w:rsidRDefault="005B26BB" w:rsidP="00613313">
            <w:pPr>
              <w:widowControl w:val="0"/>
              <w:numPr>
                <w:ilvl w:val="0"/>
                <w:numId w:val="2"/>
              </w:numPr>
              <w:pBdr>
                <w:top w:val="nil"/>
                <w:left w:val="nil"/>
                <w:bottom w:val="nil"/>
                <w:right w:val="nil"/>
                <w:between w:val="nil"/>
              </w:pBdr>
              <w:spacing w:after="0"/>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English for Medical Student: textbook (I—III a. l.) / A.H. Sabluk, L.V. Levandovska. — 4th edition, revised = Англійська мова для студентів-медиків.</w:t>
            </w:r>
            <w:r>
              <w:rPr>
                <w:rFonts w:ascii="Times New Roman" w:eastAsia="Times New Roman" w:hAnsi="Times New Roman" w:cs="Times New Roman"/>
                <w:b/>
                <w:bCs/>
                <w:color w:val="000000"/>
                <w:sz w:val="24"/>
                <w:szCs w:val="24"/>
              </w:rPr>
              <w:t xml:space="preserve"> </w:t>
            </w:r>
            <w:r>
              <w:rPr>
                <w:rFonts w:ascii="Times New Roman" w:eastAsia="Times New Roman" w:hAnsi="Times New Roman" w:cs="Times New Roman"/>
                <w:color w:val="000000"/>
                <w:sz w:val="24"/>
                <w:szCs w:val="24"/>
              </w:rPr>
              <w:t>Київ: ВСВ «Медицина», 2018. – 576 с.</w:t>
            </w:r>
          </w:p>
          <w:p w:rsidR="00A863AA" w:rsidRDefault="008F0C23" w:rsidP="00613313">
            <w:pPr>
              <w:widowControl w:val="0"/>
              <w:pBdr>
                <w:top w:val="nil"/>
                <w:left w:val="nil"/>
                <w:bottom w:val="nil"/>
                <w:right w:val="nil"/>
                <w:between w:val="nil"/>
              </w:pBdr>
              <w:spacing w:after="0"/>
              <w:ind w:left="599"/>
              <w:jc w:val="both"/>
              <w:rPr>
                <w:rFonts w:ascii="Times New Roman" w:eastAsia="Times New Roman" w:hAnsi="Times New Roman" w:cs="Times New Roman"/>
                <w:color w:val="0070C0"/>
                <w:sz w:val="24"/>
                <w:szCs w:val="24"/>
                <w:u w:val="single"/>
                <w:lang w:val="uk-UA"/>
              </w:rPr>
            </w:pPr>
            <w:hyperlink r:id="rId22" w:history="1">
              <w:r w:rsidR="003252BC" w:rsidRPr="005F4A2D">
                <w:rPr>
                  <w:rStyle w:val="a7"/>
                  <w:rFonts w:ascii="Times New Roman" w:eastAsia="Times New Roman" w:hAnsi="Times New Roman" w:cs="Times New Roman"/>
                  <w:sz w:val="24"/>
                  <w:szCs w:val="24"/>
                  <w:lang w:val="uk-UA"/>
                </w:rPr>
                <w:t>https://drive.google.com/file/d/1TsuEeEFaL1BbPmHEZwaVuWZosTjOh05I/view?usp=drive_link</w:t>
              </w:r>
            </w:hyperlink>
          </w:p>
          <w:p w:rsidR="00067572" w:rsidRDefault="003252BC" w:rsidP="00613313">
            <w:pPr>
              <w:widowControl w:val="0"/>
              <w:pBdr>
                <w:top w:val="nil"/>
                <w:left w:val="nil"/>
                <w:bottom w:val="nil"/>
                <w:right w:val="nil"/>
                <w:between w:val="nil"/>
              </w:pBdr>
              <w:spacing w:after="0"/>
              <w:ind w:left="599" w:hanging="541"/>
              <w:jc w:val="both"/>
              <w:rPr>
                <w:rStyle w:val="a7"/>
                <w:rFonts w:ascii="Times New Roman" w:eastAsia="Times New Roman" w:hAnsi="Times New Roman"/>
                <w:color w:val="0070C0"/>
                <w:lang w:val="uk-UA"/>
              </w:rPr>
            </w:pPr>
            <w:r>
              <w:rPr>
                <w:rFonts w:ascii="Times New Roman" w:eastAsia="Times New Roman" w:hAnsi="Times New Roman" w:cs="Times New Roman"/>
                <w:lang w:val="uk-UA"/>
              </w:rPr>
              <w:t xml:space="preserve">5.     Віцюк А.А. </w:t>
            </w:r>
            <w:r w:rsidRPr="004E626D">
              <w:rPr>
                <w:rFonts w:ascii="Times New Roman" w:eastAsia="Times New Roman" w:hAnsi="Times New Roman"/>
              </w:rPr>
              <w:t xml:space="preserve">Особливості використання тестових завдань на заняттях з англійської мови професійного спрямування для студентів-медиків // Академічні студії. Серія «Педагогіка». – 2026. – Вип. 1. – С. 18–24 </w:t>
            </w:r>
            <w:hyperlink r:id="rId23" w:history="1">
              <w:r w:rsidRPr="003252BC">
                <w:rPr>
                  <w:rStyle w:val="a7"/>
                  <w:rFonts w:ascii="Times New Roman" w:eastAsia="Times New Roman" w:hAnsi="Times New Roman"/>
                  <w:color w:val="0070C0"/>
                </w:rPr>
                <w:t>https://academstudies.volyn.ua/index.php/pedagogy/article/view/833/761</w:t>
              </w:r>
            </w:hyperlink>
          </w:p>
          <w:p w:rsidR="00067572" w:rsidRPr="00067572" w:rsidRDefault="00067572" w:rsidP="00613313">
            <w:pPr>
              <w:widowControl w:val="0"/>
              <w:pBdr>
                <w:top w:val="nil"/>
                <w:left w:val="nil"/>
                <w:bottom w:val="nil"/>
                <w:right w:val="nil"/>
                <w:between w:val="nil"/>
              </w:pBdr>
              <w:spacing w:after="0"/>
              <w:ind w:left="599" w:hanging="541"/>
              <w:jc w:val="both"/>
              <w:rPr>
                <w:rFonts w:ascii="Times New Roman" w:eastAsia="Times New Roman" w:hAnsi="Times New Roman"/>
                <w:color w:val="0070C0"/>
                <w:u w:val="single"/>
                <w:lang w:val="uk-UA"/>
              </w:rPr>
            </w:pPr>
            <w:r w:rsidRPr="00067572">
              <w:rPr>
                <w:rFonts w:ascii="Times New Roman" w:eastAsia="Times New Roman" w:hAnsi="Times New Roman" w:cs="Times New Roman"/>
                <w:lang w:val="uk-UA"/>
              </w:rPr>
              <w:t xml:space="preserve">6.       </w:t>
            </w:r>
            <w:proofErr w:type="spellStart"/>
            <w:r w:rsidRPr="00067572">
              <w:rPr>
                <w:rFonts w:ascii="Times New Roman" w:hAnsi="Times New Roman" w:cs="Times New Roman"/>
                <w:szCs w:val="24"/>
                <w:lang w:val="en-US"/>
              </w:rPr>
              <w:t>Vitsiuk</w:t>
            </w:r>
            <w:proofErr w:type="spellEnd"/>
            <w:r w:rsidRPr="00067572">
              <w:rPr>
                <w:rFonts w:ascii="Times New Roman" w:hAnsi="Times New Roman" w:cs="Times New Roman"/>
                <w:szCs w:val="24"/>
              </w:rPr>
              <w:t xml:space="preserve"> </w:t>
            </w:r>
            <w:r w:rsidRPr="00067572">
              <w:rPr>
                <w:rFonts w:ascii="Times New Roman" w:hAnsi="Times New Roman" w:cs="Times New Roman"/>
                <w:szCs w:val="24"/>
                <w:lang w:val="en-US"/>
              </w:rPr>
              <w:t>A</w:t>
            </w:r>
            <w:r w:rsidRPr="00067572">
              <w:rPr>
                <w:rFonts w:ascii="Times New Roman" w:hAnsi="Times New Roman" w:cs="Times New Roman"/>
                <w:szCs w:val="24"/>
              </w:rPr>
              <w:t xml:space="preserve">. </w:t>
            </w:r>
            <w:r w:rsidRPr="00067572">
              <w:rPr>
                <w:rFonts w:ascii="Times New Roman" w:hAnsi="Times New Roman" w:cs="Times New Roman"/>
                <w:szCs w:val="24"/>
                <w:lang w:val="en-US"/>
              </w:rPr>
              <w:t>A</w:t>
            </w:r>
            <w:r w:rsidRPr="00067572">
              <w:rPr>
                <w:rFonts w:ascii="Times New Roman" w:hAnsi="Times New Roman" w:cs="Times New Roman"/>
                <w:szCs w:val="24"/>
              </w:rPr>
              <w:t xml:space="preserve">. </w:t>
            </w:r>
            <w:r w:rsidRPr="00067572">
              <w:rPr>
                <w:rStyle w:val="aff6"/>
                <w:rFonts w:ascii="Times New Roman" w:hAnsi="Times New Roman" w:cs="Times New Roman"/>
                <w:b w:val="0"/>
                <w:szCs w:val="24"/>
              </w:rPr>
              <w:t xml:space="preserve">Promoting health culture through </w:t>
            </w:r>
            <w:r w:rsidRPr="00067572">
              <w:rPr>
                <w:rStyle w:val="aff6"/>
                <w:rFonts w:ascii="Times New Roman" w:hAnsi="Times New Roman" w:cs="Times New Roman"/>
                <w:b w:val="0"/>
                <w:szCs w:val="24"/>
                <w:lang w:val="en-US"/>
              </w:rPr>
              <w:t>E</w:t>
            </w:r>
            <w:r w:rsidRPr="00067572">
              <w:rPr>
                <w:rStyle w:val="aff6"/>
                <w:rFonts w:ascii="Times New Roman" w:hAnsi="Times New Roman" w:cs="Times New Roman"/>
                <w:b w:val="0"/>
                <w:szCs w:val="24"/>
              </w:rPr>
              <w:t>nglish for medical purposes: educational strategies for future healthcare professionals // Довкілля та здоров</w:t>
            </w:r>
            <w:r w:rsidRPr="00067572">
              <w:rPr>
                <w:rStyle w:val="aff6"/>
                <w:rFonts w:ascii="Times New Roman" w:hAnsi="Times New Roman" w:cs="Times New Roman"/>
                <w:b w:val="0"/>
                <w:szCs w:val="24"/>
                <w:lang w:val="en-US"/>
              </w:rPr>
              <w:t>’</w:t>
            </w:r>
            <w:r w:rsidRPr="00067572">
              <w:rPr>
                <w:rStyle w:val="aff6"/>
                <w:rFonts w:ascii="Times New Roman" w:hAnsi="Times New Roman" w:cs="Times New Roman"/>
                <w:b w:val="0"/>
                <w:szCs w:val="24"/>
              </w:rPr>
              <w:t>я, 2026.</w:t>
            </w:r>
            <w:r w:rsidRPr="00067572">
              <w:rPr>
                <w:rFonts w:ascii="Times New Roman" w:hAnsi="Times New Roman" w:cs="Times New Roman"/>
                <w:szCs w:val="24"/>
              </w:rPr>
              <w:t xml:space="preserve"> –</w:t>
            </w:r>
            <w:r w:rsidRPr="00067572">
              <w:rPr>
                <w:rStyle w:val="aff6"/>
                <w:rFonts w:ascii="Times New Roman" w:hAnsi="Times New Roman" w:cs="Times New Roman"/>
                <w:b w:val="0"/>
                <w:szCs w:val="24"/>
              </w:rPr>
              <w:t xml:space="preserve"> № 2 (119). </w:t>
            </w:r>
            <w:r w:rsidRPr="00067572">
              <w:rPr>
                <w:rFonts w:ascii="Times New Roman" w:hAnsi="Times New Roman" w:cs="Times New Roman"/>
                <w:szCs w:val="24"/>
              </w:rPr>
              <w:t>–</w:t>
            </w:r>
            <w:r w:rsidRPr="00067572">
              <w:rPr>
                <w:rStyle w:val="aff6"/>
                <w:rFonts w:ascii="Times New Roman" w:hAnsi="Times New Roman" w:cs="Times New Roman"/>
                <w:b w:val="0"/>
                <w:szCs w:val="24"/>
              </w:rPr>
              <w:t xml:space="preserve"> С. 70-76 </w:t>
            </w:r>
            <w:hyperlink r:id="rId24" w:history="1">
              <w:r w:rsidRPr="00067572">
                <w:rPr>
                  <w:rStyle w:val="a7"/>
                  <w:rFonts w:ascii="Times New Roman" w:hAnsi="Times New Roman" w:cs="Times New Roman"/>
                </w:rPr>
                <w:t>https://dovkil-zdorov.kiev.ua/journal/uk/issue/view/83/EH_02_119_2026</w:t>
              </w:r>
            </w:hyperlink>
            <w:r w:rsidRPr="00067572">
              <w:rPr>
                <w:rFonts w:ascii="Times New Roman" w:hAnsi="Times New Roman" w:cs="Times New Roman"/>
                <w:b/>
                <w:color w:val="000000"/>
                <w:lang w:val="en-US"/>
              </w:rPr>
              <w:t xml:space="preserve">  </w:t>
            </w:r>
          </w:p>
          <w:p w:rsidR="00067572" w:rsidRPr="00067572" w:rsidRDefault="00067572" w:rsidP="00613313">
            <w:pPr>
              <w:widowControl w:val="0"/>
              <w:pBdr>
                <w:top w:val="nil"/>
                <w:left w:val="nil"/>
                <w:bottom w:val="nil"/>
                <w:right w:val="nil"/>
                <w:between w:val="nil"/>
              </w:pBdr>
              <w:spacing w:after="0"/>
              <w:ind w:left="599" w:hanging="541"/>
              <w:jc w:val="both"/>
              <w:rPr>
                <w:rFonts w:ascii="Times New Roman" w:eastAsia="Times New Roman" w:hAnsi="Times New Roman"/>
                <w:color w:val="0070C0"/>
                <w:u w:val="single"/>
                <w:lang w:val="uk-UA"/>
              </w:rPr>
            </w:pPr>
            <w:r w:rsidRPr="00067572">
              <w:rPr>
                <w:rFonts w:ascii="Times New Roman" w:eastAsia="Times New Roman" w:hAnsi="Times New Roman" w:cs="Times New Roman"/>
                <w:lang w:val="uk-UA"/>
              </w:rPr>
              <w:t>7.</w:t>
            </w:r>
            <w:r w:rsidRPr="00067572">
              <w:rPr>
                <w:rFonts w:ascii="Times New Roman" w:hAnsi="Times New Roman" w:cs="Times New Roman"/>
                <w:lang w:val="uk-UA"/>
              </w:rPr>
              <w:t xml:space="preserve">       </w:t>
            </w:r>
            <w:proofErr w:type="spellStart"/>
            <w:r w:rsidRPr="00067572">
              <w:rPr>
                <w:rFonts w:ascii="Times New Roman" w:hAnsi="Times New Roman" w:cs="Times New Roman"/>
                <w:lang w:val="en-US"/>
              </w:rPr>
              <w:t>Vitsiuk</w:t>
            </w:r>
            <w:proofErr w:type="spellEnd"/>
            <w:r w:rsidRPr="00067572">
              <w:rPr>
                <w:rFonts w:ascii="Times New Roman" w:hAnsi="Times New Roman" w:cs="Times New Roman"/>
              </w:rPr>
              <w:t xml:space="preserve"> </w:t>
            </w:r>
            <w:r w:rsidRPr="00067572">
              <w:rPr>
                <w:rFonts w:ascii="Times New Roman" w:hAnsi="Times New Roman" w:cs="Times New Roman"/>
                <w:lang w:val="en-US"/>
              </w:rPr>
              <w:t>A</w:t>
            </w:r>
            <w:r w:rsidRPr="00067572">
              <w:rPr>
                <w:rFonts w:ascii="Times New Roman" w:hAnsi="Times New Roman" w:cs="Times New Roman"/>
              </w:rPr>
              <w:t xml:space="preserve">. </w:t>
            </w:r>
            <w:r w:rsidRPr="00067572">
              <w:rPr>
                <w:rFonts w:ascii="Times New Roman" w:hAnsi="Times New Roman" w:cs="Times New Roman"/>
                <w:lang w:val="en-US"/>
              </w:rPr>
              <w:t>A</w:t>
            </w:r>
            <w:r w:rsidRPr="00067572">
              <w:rPr>
                <w:rFonts w:ascii="Times New Roman" w:hAnsi="Times New Roman" w:cs="Times New Roman"/>
              </w:rPr>
              <w:t>. Simulation-based clinical situations in the process of teaching English for professional purposes// Acta Paedagogiсa Volynienses, 2026.– № 4.– С. 15–22</w:t>
            </w:r>
            <w:r w:rsidRPr="00067572">
              <w:rPr>
                <w:rFonts w:ascii="Times New Roman" w:hAnsi="Times New Roman" w:cs="Times New Roman"/>
                <w:lang w:val="uk-UA"/>
              </w:rPr>
              <w:t xml:space="preserve"> </w:t>
            </w:r>
            <w:hyperlink r:id="rId25" w:tgtFrame="_blank" w:history="1">
              <w:r w:rsidRPr="00067572">
                <w:rPr>
                  <w:rStyle w:val="a7"/>
                  <w:rFonts w:ascii="Times New Roman" w:hAnsi="Times New Roman" w:cs="Times New Roman"/>
                  <w:shd w:val="clear" w:color="auto" w:fill="FFFFFF"/>
                </w:rPr>
                <w:t>https://journals.vnu.volyn.ua/index.php/pedagogy/issue/view/183</w:t>
              </w:r>
            </w:hyperlink>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Перелік питань до підсумкового контролю (теоретична та практична складова)</w:t>
            </w:r>
          </w:p>
        </w:tc>
        <w:tc>
          <w:tcPr>
            <w:tcW w:w="7825" w:type="dxa"/>
            <w:vAlign w:val="center"/>
          </w:tcPr>
          <w:p w:rsidR="00924541" w:rsidRDefault="008F0C23" w:rsidP="00613313">
            <w:pPr>
              <w:spacing w:after="0"/>
              <w:rPr>
                <w:rFonts w:ascii="Times New Roman" w:eastAsia="Times New Roman" w:hAnsi="Times New Roman" w:cs="Times New Roman"/>
                <w:color w:val="FF0000"/>
                <w:sz w:val="24"/>
                <w:szCs w:val="24"/>
              </w:rPr>
            </w:pPr>
            <w:hyperlink r:id="rId26">
              <w:r w:rsidR="005B26BB">
                <w:rPr>
                  <w:rFonts w:ascii="Times New Roman" w:eastAsia="Times New Roman" w:hAnsi="Times New Roman" w:cs="Times New Roman"/>
                  <w:color w:val="0563C1"/>
                  <w:sz w:val="24"/>
                  <w:szCs w:val="24"/>
                  <w:u w:val="single"/>
                </w:rPr>
                <w:t>https://sites.google.com/kmu.edu.ua/humanities-and-social-sciences?usp=sharing&amp;pli=1&amp;authuser=2</w:t>
              </w:r>
            </w:hyperlink>
            <w:r w:rsidR="005B26BB">
              <w:rPr>
                <w:rFonts w:ascii="Times New Roman" w:eastAsia="Times New Roman" w:hAnsi="Times New Roman" w:cs="Times New Roman"/>
                <w:color w:val="0563C1"/>
                <w:sz w:val="24"/>
                <w:szCs w:val="24"/>
                <w:u w:val="single"/>
              </w:rPr>
              <w:t xml:space="preserve"> </w:t>
            </w:r>
          </w:p>
        </w:tc>
      </w:tr>
      <w:tr w:rsidR="00924541" w:rsidTr="001A5DE3">
        <w:trPr>
          <w:trHeight w:val="2835"/>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Корисні посилання</w:t>
            </w:r>
          </w:p>
        </w:tc>
        <w:tc>
          <w:tcPr>
            <w:tcW w:w="7825" w:type="dxa"/>
            <w:vAlign w:val="center"/>
          </w:tcPr>
          <w:p w:rsidR="00924541" w:rsidRPr="001A5DE3" w:rsidRDefault="005B26BB" w:rsidP="00613313">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Центр Тестування при Міністерстві Охорони Здоров’я [Електронний ресурс]. Режим доступу:</w:t>
            </w:r>
            <w:hyperlink r:id="rId27">
              <w:r>
                <w:rPr>
                  <w:rFonts w:ascii="Times New Roman" w:eastAsia="Times New Roman" w:hAnsi="Times New Roman" w:cs="Times New Roman"/>
                  <w:color w:val="0000FF"/>
                  <w:sz w:val="24"/>
                  <w:szCs w:val="24"/>
                </w:rPr>
                <w:t xml:space="preserve"> </w:t>
              </w:r>
            </w:hyperlink>
            <w:hyperlink r:id="rId28">
              <w:r w:rsidRPr="001A5DE3">
                <w:rPr>
                  <w:rFonts w:ascii="Times New Roman" w:eastAsia="Times New Roman" w:hAnsi="Times New Roman" w:cs="Times New Roman"/>
                  <w:color w:val="0070C0"/>
                  <w:sz w:val="24"/>
                  <w:szCs w:val="24"/>
                  <w:u w:val="single"/>
                </w:rPr>
                <w:t>https://www.testcentr.org.ua/sbt/Str_Krok1_M.zip</w:t>
              </w:r>
            </w:hyperlink>
            <w:r>
              <w:rPr>
                <w:rFonts w:ascii="Times New Roman" w:eastAsia="Times New Roman" w:hAnsi="Times New Roman" w:cs="Times New Roman"/>
                <w:color w:val="0000FF"/>
                <w:sz w:val="24"/>
                <w:szCs w:val="24"/>
                <w:u w:val="single"/>
              </w:rPr>
              <w:t xml:space="preserve"> </w:t>
            </w:r>
            <w:r>
              <w:rPr>
                <w:rFonts w:ascii="Times New Roman" w:eastAsia="Times New Roman" w:hAnsi="Times New Roman" w:cs="Times New Roman"/>
                <w:sz w:val="24"/>
                <w:szCs w:val="24"/>
              </w:rPr>
              <w:t xml:space="preserve"> </w:t>
            </w:r>
            <w:r>
              <w:rPr>
                <w:rFonts w:ascii="Times New Roman" w:eastAsia="Times New Roman" w:hAnsi="Times New Roman" w:cs="Times New Roman"/>
                <w:color w:val="000000"/>
                <w:sz w:val="24"/>
                <w:szCs w:val="24"/>
              </w:rPr>
              <w:t>Центр Тестування при Міністерстві Охорони Здоров’я [Електронний ресурс]. Режим доступу:</w:t>
            </w:r>
            <w:hyperlink r:id="rId29">
              <w:r>
                <w:rPr>
                  <w:rFonts w:ascii="Times New Roman" w:eastAsia="Times New Roman" w:hAnsi="Times New Roman" w:cs="Times New Roman"/>
                  <w:color w:val="0000FF"/>
                  <w:sz w:val="24"/>
                  <w:szCs w:val="24"/>
                </w:rPr>
                <w:t xml:space="preserve"> </w:t>
              </w:r>
            </w:hyperlink>
            <w:hyperlink r:id="rId30">
              <w:r w:rsidRPr="001A5DE3">
                <w:rPr>
                  <w:rFonts w:ascii="Times New Roman" w:eastAsia="Times New Roman" w:hAnsi="Times New Roman" w:cs="Times New Roman"/>
                  <w:color w:val="0070C0"/>
                  <w:sz w:val="24"/>
                  <w:szCs w:val="24"/>
                  <w:u w:val="single"/>
                </w:rPr>
                <w:t>https://www.testcentr.org.ua/sbt/Str_Krok1_M.zip</w:t>
              </w:r>
            </w:hyperlink>
            <w:r w:rsidRPr="001A5DE3">
              <w:rPr>
                <w:rFonts w:ascii="Times New Roman" w:eastAsia="Times New Roman" w:hAnsi="Times New Roman" w:cs="Times New Roman"/>
                <w:color w:val="0070C0"/>
                <w:sz w:val="24"/>
                <w:szCs w:val="24"/>
                <w:u w:val="single"/>
              </w:rPr>
              <w:t xml:space="preserve"> </w:t>
            </w:r>
            <w:r w:rsidRPr="001A5DE3">
              <w:rPr>
                <w:rFonts w:ascii="Times New Roman" w:eastAsia="Times New Roman" w:hAnsi="Times New Roman" w:cs="Times New Roman"/>
                <w:color w:val="0070C0"/>
                <w:sz w:val="24"/>
                <w:szCs w:val="24"/>
              </w:rPr>
              <w:t xml:space="preserve"> </w:t>
            </w:r>
            <w:r w:rsidRPr="001A5DE3">
              <w:rPr>
                <w:rFonts w:ascii="Times New Roman" w:eastAsia="Times New Roman" w:hAnsi="Times New Roman" w:cs="Times New Roman"/>
                <w:color w:val="0070C0"/>
                <w:sz w:val="20"/>
                <w:szCs w:val="20"/>
              </w:rPr>
              <w:t xml:space="preserve"> </w:t>
            </w:r>
            <w:r>
              <w:rPr>
                <w:rFonts w:ascii="Times New Roman" w:eastAsia="Times New Roman" w:hAnsi="Times New Roman" w:cs="Times New Roman"/>
                <w:sz w:val="24"/>
                <w:szCs w:val="24"/>
              </w:rPr>
              <w:t xml:space="preserve">Освітній модуль для підготовки здобувачів до складання ЄДКІ та Крок 3 ДНП «Центр тестування» </w:t>
            </w:r>
            <w:hyperlink r:id="rId31">
              <w:r>
                <w:rPr>
                  <w:rFonts w:ascii="Times New Roman" w:eastAsia="Times New Roman" w:hAnsi="Times New Roman" w:cs="Times New Roman"/>
                  <w:color w:val="0563C1"/>
                  <w:sz w:val="24"/>
                  <w:szCs w:val="24"/>
                  <w:u w:val="single"/>
                </w:rPr>
                <w:t>https://test.testcentr.org.ua/</w:t>
              </w:r>
            </w:hyperlink>
            <w:r>
              <w:rPr>
                <w:rFonts w:ascii="Times New Roman" w:eastAsia="Times New Roman" w:hAnsi="Times New Roman" w:cs="Times New Roman"/>
                <w:sz w:val="24"/>
                <w:szCs w:val="24"/>
              </w:rPr>
              <w:t xml:space="preserve">Державний експертний центр МОЗ України. Галузеві стандарти та клінічні настанови </w:t>
            </w:r>
            <w:hyperlink r:id="rId32">
              <w:r>
                <w:rPr>
                  <w:rFonts w:ascii="Times New Roman" w:eastAsia="Times New Roman" w:hAnsi="Times New Roman" w:cs="Times New Roman"/>
                  <w:color w:val="0563C1"/>
                  <w:sz w:val="24"/>
                  <w:szCs w:val="24"/>
                  <w:u w:val="single"/>
                </w:rPr>
                <w:t>https://www.dec.gov.ua/cat_mtd/galuzevi-standarti-ta-klinichni-nastanovi/</w:t>
              </w:r>
            </w:hyperlink>
            <w:r>
              <w:rPr>
                <w:rFonts w:ascii="Times New Roman" w:eastAsia="Times New Roman" w:hAnsi="Times New Roman" w:cs="Times New Roman"/>
                <w:sz w:val="20"/>
                <w:szCs w:val="20"/>
              </w:rPr>
              <w:t xml:space="preserve"> </w:t>
            </w:r>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Методичні рекомендації для підготовки до занять </w:t>
            </w:r>
          </w:p>
        </w:tc>
        <w:tc>
          <w:tcPr>
            <w:tcW w:w="7825" w:type="dxa"/>
            <w:vAlign w:val="center"/>
          </w:tcPr>
          <w:p w:rsidR="00924541" w:rsidRDefault="008F0C23" w:rsidP="00613313">
            <w:pPr>
              <w:spacing w:after="0"/>
              <w:rPr>
                <w:rFonts w:ascii="Times New Roman" w:eastAsia="Times New Roman" w:hAnsi="Times New Roman" w:cs="Times New Roman"/>
                <w:color w:val="FF0000"/>
                <w:sz w:val="20"/>
                <w:szCs w:val="20"/>
              </w:rPr>
            </w:pPr>
            <w:hyperlink r:id="rId33">
              <w:r w:rsidR="001A5DE3" w:rsidRPr="00C00811">
                <w:rPr>
                  <w:rFonts w:ascii="Times New Roman" w:eastAsia="Times New Roman" w:hAnsi="Times New Roman" w:cs="Times New Roman"/>
                  <w:color w:val="0070C0"/>
                  <w:u w:val="single"/>
                </w:rPr>
                <w:t>https://sites.google.com/d/1BybQBXY7mt55oEL0GylUL5bwYSiA6Ke2/p/1XDcwWd4AvUxuOgFdYVH3dwik8V2qEfhD</w:t>
              </w:r>
            </w:hyperlink>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Конспекти (презентації) лекцій</w:t>
            </w:r>
          </w:p>
        </w:tc>
        <w:tc>
          <w:tcPr>
            <w:tcW w:w="7825" w:type="dxa"/>
            <w:vAlign w:val="center"/>
          </w:tcPr>
          <w:p w:rsidR="00924541" w:rsidRDefault="00924541" w:rsidP="00613313">
            <w:pPr>
              <w:spacing w:after="0"/>
              <w:rPr>
                <w:rFonts w:ascii="Times New Roman" w:eastAsia="Times New Roman" w:hAnsi="Times New Roman" w:cs="Times New Roman"/>
                <w:color w:val="FF0000"/>
                <w:sz w:val="20"/>
                <w:szCs w:val="20"/>
              </w:rPr>
            </w:pPr>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Спілки та об'єднання за профілем (стейкхолдери)</w:t>
            </w:r>
          </w:p>
        </w:tc>
        <w:tc>
          <w:tcPr>
            <w:tcW w:w="7825" w:type="dxa"/>
            <w:vAlign w:val="center"/>
          </w:tcPr>
          <w:p w:rsidR="00924541" w:rsidRDefault="008F0C23" w:rsidP="00613313">
            <w:pPr>
              <w:spacing w:after="0"/>
              <w:rPr>
                <w:rFonts w:ascii="Times New Roman" w:eastAsia="Times New Roman" w:hAnsi="Times New Roman" w:cs="Times New Roman"/>
                <w:color w:val="FF0000"/>
                <w:sz w:val="20"/>
                <w:szCs w:val="20"/>
              </w:rPr>
            </w:pPr>
            <w:hyperlink r:id="rId34">
              <w:r w:rsidR="005B26BB" w:rsidRPr="001A5DE3">
                <w:rPr>
                  <w:rFonts w:ascii="Times New Roman" w:eastAsia="Times New Roman" w:hAnsi="Times New Roman" w:cs="Times New Roman"/>
                  <w:color w:val="0070C0"/>
                  <w:sz w:val="24"/>
                  <w:szCs w:val="24"/>
                  <w:u w:val="single"/>
                </w:rPr>
                <w:t>https://ukraineiatefl.wixsite.com/iateflukraine</w:t>
              </w:r>
            </w:hyperlink>
          </w:p>
        </w:tc>
      </w:tr>
      <w:tr w:rsidR="00924541">
        <w:trPr>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Міжнародні ресурси (стейкхолдери)</w:t>
            </w:r>
          </w:p>
        </w:tc>
        <w:tc>
          <w:tcPr>
            <w:tcW w:w="7825" w:type="dxa"/>
            <w:vAlign w:val="center"/>
          </w:tcPr>
          <w:p w:rsidR="00924541" w:rsidRPr="001A5DE3" w:rsidRDefault="008F0C23" w:rsidP="00613313">
            <w:pPr>
              <w:spacing w:after="0"/>
              <w:rPr>
                <w:color w:val="0070C0"/>
              </w:rPr>
            </w:pPr>
            <w:hyperlink r:id="rId35">
              <w:r w:rsidR="005B26BB" w:rsidRPr="001A5DE3">
                <w:rPr>
                  <w:rFonts w:ascii="Times New Roman" w:eastAsia="Times New Roman" w:hAnsi="Times New Roman" w:cs="Times New Roman"/>
                  <w:color w:val="0070C0"/>
                  <w:sz w:val="24"/>
                  <w:szCs w:val="24"/>
                </w:rPr>
                <w:t>https://www.merriam-webster.com/medical</w:t>
              </w:r>
            </w:hyperlink>
          </w:p>
          <w:p w:rsidR="00924541" w:rsidRDefault="005B26BB" w:rsidP="00613313">
            <w:pPr>
              <w:spacing w:after="0"/>
              <w:rPr>
                <w:rFonts w:ascii="Times New Roman" w:eastAsia="Times New Roman" w:hAnsi="Times New Roman" w:cs="Times New Roman"/>
                <w:color w:val="0000FF"/>
                <w:sz w:val="24"/>
                <w:szCs w:val="24"/>
                <w:u w:val="single"/>
              </w:rPr>
            </w:pPr>
            <w:r>
              <w:rPr>
                <w:rFonts w:ascii="Times New Roman" w:eastAsia="Times New Roman" w:hAnsi="Times New Roman" w:cs="Times New Roman"/>
                <w:color w:val="000000"/>
                <w:sz w:val="24"/>
                <w:szCs w:val="24"/>
              </w:rPr>
              <w:t>Oxford Dictionaries. Online. Available at:</w:t>
            </w:r>
            <w:hyperlink r:id="rId36">
              <w:r>
                <w:rPr>
                  <w:rFonts w:ascii="Times New Roman" w:eastAsia="Times New Roman" w:hAnsi="Times New Roman" w:cs="Times New Roman"/>
                  <w:color w:val="0000FF"/>
                  <w:sz w:val="24"/>
                  <w:szCs w:val="24"/>
                </w:rPr>
                <w:t xml:space="preserve"> </w:t>
              </w:r>
            </w:hyperlink>
            <w:hyperlink r:id="rId37">
              <w:r w:rsidRPr="001A5DE3">
                <w:rPr>
                  <w:rFonts w:ascii="Times New Roman" w:eastAsia="Times New Roman" w:hAnsi="Times New Roman" w:cs="Times New Roman"/>
                  <w:color w:val="0070C0"/>
                  <w:sz w:val="24"/>
                  <w:szCs w:val="24"/>
                  <w:u w:val="single"/>
                </w:rPr>
                <w:t>http://www.oxforddictionaries.com/</w:t>
              </w:r>
            </w:hyperlink>
          </w:p>
        </w:tc>
      </w:tr>
      <w:tr w:rsidR="00924541" w:rsidTr="00CD65FE">
        <w:trPr>
          <w:trHeight w:val="651"/>
          <w:jc w:val="center"/>
        </w:trPr>
        <w:tc>
          <w:tcPr>
            <w:tcW w:w="2376" w:type="dxa"/>
            <w:shd w:val="clear" w:color="auto" w:fill="E7E6E6"/>
            <w:vAlign w:val="center"/>
          </w:tcPr>
          <w:p w:rsidR="00924541" w:rsidRDefault="005B26BB" w:rsidP="00613313">
            <w:pPr>
              <w:spacing w:after="0"/>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Зворотний зв'язок</w:t>
            </w:r>
          </w:p>
        </w:tc>
        <w:tc>
          <w:tcPr>
            <w:tcW w:w="7825" w:type="dxa"/>
            <w:vAlign w:val="center"/>
          </w:tcPr>
          <w:p w:rsidR="00924541" w:rsidRPr="00CD65FE" w:rsidRDefault="008F0C23" w:rsidP="00613313">
            <w:pPr>
              <w:spacing w:after="0"/>
              <w:rPr>
                <w:rFonts w:ascii="Times New Roman" w:eastAsia="Times New Roman" w:hAnsi="Times New Roman" w:cs="Times New Roman"/>
              </w:rPr>
            </w:pPr>
            <w:hyperlink r:id="rId38">
              <w:r w:rsidR="005B26BB" w:rsidRPr="001A5DE3">
                <w:rPr>
                  <w:rFonts w:ascii="Times New Roman" w:eastAsia="Times New Roman" w:hAnsi="Times New Roman" w:cs="Times New Roman"/>
                  <w:color w:val="0563C1"/>
                  <w:u w:val="single"/>
                </w:rPr>
                <w:t>social_hum@kmu.edu.ua</w:t>
              </w:r>
            </w:hyperlink>
          </w:p>
        </w:tc>
      </w:tr>
    </w:tbl>
    <w:p w:rsidR="00924541" w:rsidRDefault="00924541">
      <w:pPr>
        <w:spacing w:after="0" w:line="240" w:lineRule="auto"/>
        <w:ind w:left="-567"/>
        <w:rPr>
          <w:rFonts w:ascii="Times New Roman" w:eastAsia="Times New Roman" w:hAnsi="Times New Roman" w:cs="Times New Roman"/>
        </w:rPr>
      </w:pPr>
    </w:p>
    <w:p w:rsidR="00924541" w:rsidRDefault="005B26BB">
      <w:pPr>
        <w:rPr>
          <w:rFonts w:ascii="Times New Roman" w:eastAsia="Times New Roman" w:hAnsi="Times New Roman" w:cs="Times New Roman"/>
          <w:sz w:val="20"/>
          <w:szCs w:val="20"/>
        </w:rPr>
      </w:pPr>
      <w:r>
        <w:rPr>
          <w:rFonts w:ascii="Times New Roman" w:eastAsia="Times New Roman" w:hAnsi="Times New Roman" w:cs="Times New Roman"/>
          <w:sz w:val="20"/>
          <w:szCs w:val="20"/>
        </w:rPr>
        <w:t>Силабус обговорено та затверджено на засіданні кафедри</w:t>
      </w:r>
    </w:p>
    <w:p w:rsidR="00924541" w:rsidRDefault="00D33189">
      <w:pPr>
        <w:rPr>
          <w:rFonts w:ascii="Times New Roman" w:eastAsia="Times New Roman" w:hAnsi="Times New Roman" w:cs="Times New Roman"/>
          <w:sz w:val="20"/>
          <w:szCs w:val="20"/>
          <w:lang w:val="en-US"/>
        </w:rPr>
      </w:pPr>
      <w:r>
        <w:rPr>
          <w:rFonts w:ascii="Times New Roman" w:eastAsia="Times New Roman" w:hAnsi="Times New Roman" w:cs="Times New Roman"/>
          <w:sz w:val="20"/>
          <w:szCs w:val="20"/>
        </w:rPr>
        <w:t>від «27» серпня 202</w:t>
      </w:r>
      <w:r>
        <w:rPr>
          <w:rFonts w:ascii="Times New Roman" w:eastAsia="Times New Roman" w:hAnsi="Times New Roman" w:cs="Times New Roman"/>
          <w:sz w:val="20"/>
          <w:szCs w:val="20"/>
          <w:lang w:val="uk-UA"/>
        </w:rPr>
        <w:t>6</w:t>
      </w:r>
      <w:r w:rsidR="005B26BB">
        <w:rPr>
          <w:rFonts w:ascii="Times New Roman" w:eastAsia="Times New Roman" w:hAnsi="Times New Roman" w:cs="Times New Roman"/>
          <w:sz w:val="20"/>
          <w:szCs w:val="20"/>
        </w:rPr>
        <w:t xml:space="preserve"> р. (протокол №1).</w:t>
      </w:r>
      <w:r w:rsidR="001A5DE3">
        <w:rPr>
          <w:rFonts w:ascii="Times New Roman" w:eastAsia="Times New Roman" w:hAnsi="Times New Roman" w:cs="Times New Roman"/>
          <w:sz w:val="20"/>
          <w:szCs w:val="20"/>
          <w:lang w:val="en-US"/>
        </w:rPr>
        <w:t xml:space="preserve"> </w:t>
      </w:r>
    </w:p>
    <w:p w:rsidR="00420DBC" w:rsidRPr="001A5DE3" w:rsidRDefault="00420DBC">
      <w:pPr>
        <w:rPr>
          <w:lang w:val="en-US"/>
        </w:rPr>
      </w:pPr>
    </w:p>
    <w:sectPr w:rsidR="00420DBC" w:rsidRPr="001A5DE3">
      <w:headerReference w:type="default" r:id="rId39"/>
      <w:pgSz w:w="11906" w:h="16838"/>
      <w:pgMar w:top="567" w:right="850" w:bottom="850" w:left="1417"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0C23" w:rsidRDefault="008F0C23">
      <w:pPr>
        <w:spacing w:after="0" w:line="240" w:lineRule="auto"/>
      </w:pPr>
      <w:r>
        <w:separator/>
      </w:r>
    </w:p>
  </w:endnote>
  <w:endnote w:type="continuationSeparator" w:id="0">
    <w:p w:rsidR="008F0C23" w:rsidRDefault="008F0C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Noto Sans Symbols">
    <w:altName w:val="Gadugi"/>
    <w:charset w:val="00"/>
    <w:family w:val="swiss"/>
    <w:pitch w:val="variable"/>
    <w:sig w:usb0="00000003" w:usb1="0200E0A0" w:usb2="00000000" w:usb3="00000000" w:csb0="00000001" w:csb1="00000000"/>
    <w:embedRegular r:id="rId1" w:fontKey="{248A43E4-4B23-4F48-AC18-9DCC45AF7B99}"/>
  </w:font>
  <w:font w:name="Calibri">
    <w:panose1 w:val="020F0502020204030204"/>
    <w:charset w:val="CC"/>
    <w:family w:val="swiss"/>
    <w:pitch w:val="variable"/>
    <w:sig w:usb0="E4002EFF" w:usb1="C000247B" w:usb2="00000009" w:usb3="00000000" w:csb0="000001FF" w:csb1="00000000"/>
    <w:embedRegular r:id="rId2" w:fontKey="{04FF6949-7A35-4010-9A6C-1837A012069B}"/>
    <w:embedBold r:id="rId3" w:fontKey="{3657B2E4-4CB8-4347-973A-D2EF02E09FC5}"/>
  </w:font>
  <w:font w:name="Georgia">
    <w:panose1 w:val="02040502050405020303"/>
    <w:charset w:val="CC"/>
    <w:family w:val="roman"/>
    <w:pitch w:val="variable"/>
    <w:sig w:usb0="00000287" w:usb1="00000000" w:usb2="00000000" w:usb3="00000000" w:csb0="0000009F" w:csb1="00000000"/>
    <w:embedRegular r:id="rId4" w:fontKey="{8B956EDA-074F-4066-A092-4B7640274DB8}"/>
    <w:embedItalic r:id="rId5" w:fontKey="{5EF2A388-4954-4A49-8D49-0F630FA013D1}"/>
  </w:font>
  <w:font w:name="Tahoma">
    <w:panose1 w:val="020B0604030504040204"/>
    <w:charset w:val="CC"/>
    <w:family w:val="swiss"/>
    <w:pitch w:val="variable"/>
    <w:sig w:usb0="E1002EFF" w:usb1="C000605B" w:usb2="00000029" w:usb3="00000000" w:csb0="000101FF" w:csb1="00000000"/>
    <w:embedRegular r:id="rId6" w:fontKey="{8BB73102-0192-42E6-804D-40E85F99775A}"/>
  </w:font>
  <w:font w:name="Calibri Light">
    <w:panose1 w:val="020F0302020204030204"/>
    <w:charset w:val="CC"/>
    <w:family w:val="swiss"/>
    <w:pitch w:val="variable"/>
    <w:sig w:usb0="E4002EFF" w:usb1="C000247B" w:usb2="00000009" w:usb3="00000000" w:csb0="000001FF" w:csb1="00000000"/>
    <w:embedRegular r:id="rId7" w:fontKey="{F159BDCC-51F8-4F98-A722-D63E464763E7}"/>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0C23" w:rsidRDefault="008F0C23">
      <w:pPr>
        <w:spacing w:after="0" w:line="240" w:lineRule="auto"/>
      </w:pPr>
      <w:r>
        <w:separator/>
      </w:r>
    </w:p>
  </w:footnote>
  <w:footnote w:type="continuationSeparator" w:id="0">
    <w:p w:rsidR="008F0C23" w:rsidRDefault="008F0C2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863AA" w:rsidRDefault="00A863AA">
    <w:pPr>
      <w:pBdr>
        <w:top w:val="nil"/>
        <w:left w:val="nil"/>
        <w:bottom w:val="nil"/>
        <w:right w:val="nil"/>
        <w:between w:val="nil"/>
      </w:pBdr>
      <w:tabs>
        <w:tab w:val="center" w:pos="4844"/>
        <w:tab w:val="right" w:pos="9689"/>
      </w:tabs>
      <w:spacing w:after="0" w:line="240" w:lineRule="auto"/>
      <w:rPr>
        <w:color w:val="000000"/>
      </w:rPr>
    </w:pPr>
    <w:r>
      <w:rPr>
        <w:noProof/>
        <w:color w:val="000000"/>
        <w:lang w:val="uk-UA"/>
      </w:rPr>
      <w:drawing>
        <wp:anchor distT="0" distB="0" distL="0" distR="0" simplePos="0" relativeHeight="251658240" behindDoc="1" locked="0" layoutInCell="1" hidden="0" allowOverlap="1">
          <wp:simplePos x="0" y="0"/>
          <wp:positionH relativeFrom="page">
            <wp:posOffset>775970</wp:posOffset>
          </wp:positionH>
          <wp:positionV relativeFrom="margin">
            <wp:posOffset>1421765</wp:posOffset>
          </wp:positionV>
          <wp:extent cx="5943600" cy="6206400"/>
          <wp:effectExtent l="0" t="0" r="0" b="0"/>
          <wp:wrapNone/>
          <wp:docPr id="6"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5943600" cy="6206400"/>
                  </a:xfrm>
                  <a:prstGeom prst="rect">
                    <a:avLst/>
                  </a:prstGeom>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8134F8"/>
    <w:multiLevelType w:val="multilevel"/>
    <w:tmpl w:val="9DD69ACA"/>
    <w:lvl w:ilvl="0">
      <w:start w:val="1"/>
      <w:numFmt w:val="bullet"/>
      <w:lvlText w:val="-"/>
      <w:lvlJc w:val="left"/>
      <w:pPr>
        <w:ind w:left="420" w:hanging="360"/>
      </w:pPr>
      <w:rPr>
        <w:rFonts w:ascii="Times New Roman" w:eastAsia="Times New Roman" w:hAnsi="Times New Roman" w:cs="Times New Roman"/>
        <w:color w:val="00000A"/>
      </w:rPr>
    </w:lvl>
    <w:lvl w:ilvl="1">
      <w:start w:val="1"/>
      <w:numFmt w:val="bullet"/>
      <w:lvlText w:val="o"/>
      <w:lvlJc w:val="left"/>
      <w:pPr>
        <w:ind w:left="1140" w:hanging="360"/>
      </w:pPr>
      <w:rPr>
        <w:rFonts w:ascii="Courier New" w:eastAsia="Courier New" w:hAnsi="Courier New" w:cs="Courier New"/>
      </w:rPr>
    </w:lvl>
    <w:lvl w:ilvl="2">
      <w:start w:val="1"/>
      <w:numFmt w:val="bullet"/>
      <w:lvlText w:val="▪"/>
      <w:lvlJc w:val="left"/>
      <w:pPr>
        <w:ind w:left="1860" w:hanging="360"/>
      </w:pPr>
      <w:rPr>
        <w:rFonts w:ascii="Noto Sans Symbols" w:eastAsia="Noto Sans Symbols" w:hAnsi="Noto Sans Symbols" w:cs="Noto Sans Symbols"/>
      </w:rPr>
    </w:lvl>
    <w:lvl w:ilvl="3">
      <w:start w:val="1"/>
      <w:numFmt w:val="bullet"/>
      <w:lvlText w:val="●"/>
      <w:lvlJc w:val="left"/>
      <w:pPr>
        <w:ind w:left="2580" w:hanging="360"/>
      </w:pPr>
      <w:rPr>
        <w:rFonts w:ascii="Noto Sans Symbols" w:eastAsia="Noto Sans Symbols" w:hAnsi="Noto Sans Symbols" w:cs="Noto Sans Symbols"/>
      </w:rPr>
    </w:lvl>
    <w:lvl w:ilvl="4">
      <w:start w:val="1"/>
      <w:numFmt w:val="bullet"/>
      <w:lvlText w:val="o"/>
      <w:lvlJc w:val="left"/>
      <w:pPr>
        <w:ind w:left="3300" w:hanging="360"/>
      </w:pPr>
      <w:rPr>
        <w:rFonts w:ascii="Courier New" w:eastAsia="Courier New" w:hAnsi="Courier New" w:cs="Courier New"/>
      </w:rPr>
    </w:lvl>
    <w:lvl w:ilvl="5">
      <w:start w:val="1"/>
      <w:numFmt w:val="bullet"/>
      <w:lvlText w:val="▪"/>
      <w:lvlJc w:val="left"/>
      <w:pPr>
        <w:ind w:left="4020" w:hanging="360"/>
      </w:pPr>
      <w:rPr>
        <w:rFonts w:ascii="Noto Sans Symbols" w:eastAsia="Noto Sans Symbols" w:hAnsi="Noto Sans Symbols" w:cs="Noto Sans Symbols"/>
      </w:rPr>
    </w:lvl>
    <w:lvl w:ilvl="6">
      <w:start w:val="1"/>
      <w:numFmt w:val="bullet"/>
      <w:lvlText w:val="●"/>
      <w:lvlJc w:val="left"/>
      <w:pPr>
        <w:ind w:left="4740" w:hanging="360"/>
      </w:pPr>
      <w:rPr>
        <w:rFonts w:ascii="Noto Sans Symbols" w:eastAsia="Noto Sans Symbols" w:hAnsi="Noto Sans Symbols" w:cs="Noto Sans Symbols"/>
      </w:rPr>
    </w:lvl>
    <w:lvl w:ilvl="7">
      <w:start w:val="1"/>
      <w:numFmt w:val="bullet"/>
      <w:lvlText w:val="o"/>
      <w:lvlJc w:val="left"/>
      <w:pPr>
        <w:ind w:left="5460" w:hanging="360"/>
      </w:pPr>
      <w:rPr>
        <w:rFonts w:ascii="Courier New" w:eastAsia="Courier New" w:hAnsi="Courier New" w:cs="Courier New"/>
      </w:rPr>
    </w:lvl>
    <w:lvl w:ilvl="8">
      <w:start w:val="1"/>
      <w:numFmt w:val="bullet"/>
      <w:lvlText w:val="▪"/>
      <w:lvlJc w:val="left"/>
      <w:pPr>
        <w:ind w:left="6180" w:hanging="360"/>
      </w:pPr>
      <w:rPr>
        <w:rFonts w:ascii="Noto Sans Symbols" w:eastAsia="Noto Sans Symbols" w:hAnsi="Noto Sans Symbols" w:cs="Noto Sans Symbols"/>
      </w:rPr>
    </w:lvl>
  </w:abstractNum>
  <w:abstractNum w:abstractNumId="1">
    <w:nsid w:val="327A3143"/>
    <w:multiLevelType w:val="hybridMultilevel"/>
    <w:tmpl w:val="44E09BF0"/>
    <w:lvl w:ilvl="0" w:tplc="D7522552">
      <w:start w:val="1"/>
      <w:numFmt w:val="decimal"/>
      <w:lvlText w:val="%1."/>
      <w:lvlJc w:val="left"/>
      <w:pPr>
        <w:ind w:left="644" w:hanging="360"/>
      </w:pPr>
      <w:rPr>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
    <w:nsid w:val="3BCD6D3C"/>
    <w:multiLevelType w:val="hybridMultilevel"/>
    <w:tmpl w:val="CF92BD92"/>
    <w:lvl w:ilvl="0" w:tplc="2682A416">
      <w:start w:val="1"/>
      <w:numFmt w:val="decimal"/>
      <w:lvlText w:val="%1."/>
      <w:lvlJc w:val="left"/>
      <w:pPr>
        <w:ind w:left="720" w:hanging="360"/>
      </w:pPr>
      <w:rPr>
        <w:b w:val="0"/>
        <w:sz w:val="28"/>
        <w:szCs w:val="28"/>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
    <w:nsid w:val="73246C84"/>
    <w:multiLevelType w:val="multilevel"/>
    <w:tmpl w:val="90A827F0"/>
    <w:lvl w:ilvl="0">
      <w:start w:val="1"/>
      <w:numFmt w:val="decimal"/>
      <w:lvlText w:val="%1."/>
      <w:lvlJc w:val="left"/>
      <w:pPr>
        <w:ind w:left="599" w:hanging="457"/>
      </w:pPr>
      <w:rPr>
        <w:rFonts w:ascii="Times New Roman" w:eastAsia="Calibri" w:hAnsi="Times New Roman" w:cs="Times New Roman" w:hint="default"/>
        <w:sz w:val="22"/>
        <w:szCs w:val="22"/>
      </w:rPr>
    </w:lvl>
    <w:lvl w:ilvl="1">
      <w:numFmt w:val="bullet"/>
      <w:lvlText w:val="•"/>
      <w:lvlJc w:val="left"/>
      <w:pPr>
        <w:ind w:left="1644" w:hanging="457"/>
      </w:pPr>
    </w:lvl>
    <w:lvl w:ilvl="2">
      <w:numFmt w:val="bullet"/>
      <w:lvlText w:val="•"/>
      <w:lvlJc w:val="left"/>
      <w:pPr>
        <w:ind w:left="2588" w:hanging="457"/>
      </w:pPr>
    </w:lvl>
    <w:lvl w:ilvl="3">
      <w:numFmt w:val="bullet"/>
      <w:lvlText w:val="•"/>
      <w:lvlJc w:val="left"/>
      <w:pPr>
        <w:ind w:left="3533" w:hanging="457"/>
      </w:pPr>
    </w:lvl>
    <w:lvl w:ilvl="4">
      <w:numFmt w:val="bullet"/>
      <w:lvlText w:val="•"/>
      <w:lvlJc w:val="left"/>
      <w:pPr>
        <w:ind w:left="4477" w:hanging="457"/>
      </w:pPr>
    </w:lvl>
    <w:lvl w:ilvl="5">
      <w:numFmt w:val="bullet"/>
      <w:lvlText w:val="•"/>
      <w:lvlJc w:val="left"/>
      <w:pPr>
        <w:ind w:left="5422" w:hanging="456"/>
      </w:pPr>
    </w:lvl>
    <w:lvl w:ilvl="6">
      <w:numFmt w:val="bullet"/>
      <w:lvlText w:val="•"/>
      <w:lvlJc w:val="left"/>
      <w:pPr>
        <w:ind w:left="6366" w:hanging="457"/>
      </w:pPr>
    </w:lvl>
    <w:lvl w:ilvl="7">
      <w:numFmt w:val="bullet"/>
      <w:lvlText w:val="•"/>
      <w:lvlJc w:val="left"/>
      <w:pPr>
        <w:ind w:left="7310" w:hanging="457"/>
      </w:pPr>
    </w:lvl>
    <w:lvl w:ilvl="8">
      <w:numFmt w:val="bullet"/>
      <w:lvlText w:val="•"/>
      <w:lvlJc w:val="left"/>
      <w:pPr>
        <w:ind w:left="8255" w:hanging="457"/>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924541"/>
    <w:rsid w:val="000403B0"/>
    <w:rsid w:val="00067572"/>
    <w:rsid w:val="000A5654"/>
    <w:rsid w:val="000F2B5B"/>
    <w:rsid w:val="00157895"/>
    <w:rsid w:val="001922F5"/>
    <w:rsid w:val="001A5DE3"/>
    <w:rsid w:val="00261BD8"/>
    <w:rsid w:val="0027080A"/>
    <w:rsid w:val="00274F36"/>
    <w:rsid w:val="002E66B4"/>
    <w:rsid w:val="002F52CD"/>
    <w:rsid w:val="002F5923"/>
    <w:rsid w:val="003252BC"/>
    <w:rsid w:val="003358D2"/>
    <w:rsid w:val="00420DBC"/>
    <w:rsid w:val="00535DE0"/>
    <w:rsid w:val="005B26BB"/>
    <w:rsid w:val="005E23AA"/>
    <w:rsid w:val="00613313"/>
    <w:rsid w:val="00722542"/>
    <w:rsid w:val="00722EE6"/>
    <w:rsid w:val="00763A48"/>
    <w:rsid w:val="007C59BF"/>
    <w:rsid w:val="00816F7D"/>
    <w:rsid w:val="008F0C23"/>
    <w:rsid w:val="00924541"/>
    <w:rsid w:val="009A1032"/>
    <w:rsid w:val="009B573E"/>
    <w:rsid w:val="009C6F09"/>
    <w:rsid w:val="00A81995"/>
    <w:rsid w:val="00A863AA"/>
    <w:rsid w:val="00AD4566"/>
    <w:rsid w:val="00B517BD"/>
    <w:rsid w:val="00B67E78"/>
    <w:rsid w:val="00B92CB3"/>
    <w:rsid w:val="00C36E38"/>
    <w:rsid w:val="00CD65FE"/>
    <w:rsid w:val="00D33189"/>
    <w:rsid w:val="00DD3D47"/>
    <w:rsid w:val="00E26D99"/>
    <w:rsid w:val="00E7340D"/>
    <w:rsid w:val="00E7343D"/>
    <w:rsid w:val="00EA54FC"/>
    <w:rsid w:val="00EE0A66"/>
    <w:rsid w:val="00EE1B0B"/>
    <w:rsid w:val="00EF2602"/>
    <w:rsid w:val="00FA1142"/>
    <w:rsid w:val="00FA6886"/>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rsid w:val="00FD553B"/>
    <w:rPr>
      <w:rFonts w:ascii="Calibri" w:eastAsia="Calibri" w:hAnsi="Calibri" w:cs="Calibri"/>
      <w:b/>
      <w:sz w:val="48"/>
      <w:szCs w:val="48"/>
      <w:lang w:val="uk-UA"/>
    </w:rPr>
  </w:style>
  <w:style w:type="character" w:customStyle="1" w:styleId="20">
    <w:name w:val="Заголовок 2 Знак"/>
    <w:basedOn w:val="a0"/>
    <w:rsid w:val="00FD553B"/>
    <w:rPr>
      <w:rFonts w:ascii="Calibri" w:eastAsia="Calibri" w:hAnsi="Calibri" w:cs="Calibri"/>
      <w:b/>
      <w:sz w:val="36"/>
      <w:szCs w:val="36"/>
      <w:lang w:val="uk-UA"/>
    </w:rPr>
  </w:style>
  <w:style w:type="character" w:customStyle="1" w:styleId="30">
    <w:name w:val="Заголовок 3 Знак"/>
    <w:basedOn w:val="a0"/>
    <w:rsid w:val="00FD553B"/>
    <w:rPr>
      <w:rFonts w:ascii="Calibri" w:eastAsia="Calibri" w:hAnsi="Calibri" w:cs="Calibri"/>
      <w:b/>
      <w:sz w:val="28"/>
      <w:szCs w:val="28"/>
      <w:lang w:val="uk-UA"/>
    </w:rPr>
  </w:style>
  <w:style w:type="character" w:customStyle="1" w:styleId="40">
    <w:name w:val="Заголовок 4 Знак"/>
    <w:basedOn w:val="a0"/>
    <w:rsid w:val="00FD553B"/>
    <w:rPr>
      <w:rFonts w:ascii="Calibri" w:eastAsia="Calibri" w:hAnsi="Calibri" w:cs="Calibri"/>
      <w:b/>
      <w:sz w:val="24"/>
      <w:szCs w:val="24"/>
      <w:lang w:val="uk-UA"/>
    </w:rPr>
  </w:style>
  <w:style w:type="character" w:customStyle="1" w:styleId="50">
    <w:name w:val="Заголовок 5 Знак"/>
    <w:basedOn w:val="a0"/>
    <w:rsid w:val="00FD553B"/>
    <w:rPr>
      <w:rFonts w:ascii="Calibri" w:eastAsia="Calibri" w:hAnsi="Calibri" w:cs="Calibri"/>
      <w:b/>
      <w:lang w:val="uk-UA"/>
    </w:rPr>
  </w:style>
  <w:style w:type="character" w:customStyle="1" w:styleId="60">
    <w:name w:val="Заголовок 6 Знак"/>
    <w:basedOn w:val="a0"/>
    <w:rsid w:val="00FD553B"/>
    <w:rPr>
      <w:rFonts w:ascii="Calibri" w:eastAsia="Calibri" w:hAnsi="Calibri" w:cs="Calibri"/>
      <w:b/>
      <w:sz w:val="20"/>
      <w:szCs w:val="20"/>
      <w:lang w:val="uk-UA"/>
    </w:rPr>
  </w:style>
  <w:style w:type="table" w:customStyle="1" w:styleId="TableNormal1">
    <w:name w:val="Table Normal1"/>
    <w:rsid w:val="00FD553B"/>
    <w:tblPr>
      <w:tblCellMar>
        <w:top w:w="0" w:type="dxa"/>
        <w:left w:w="0" w:type="dxa"/>
        <w:bottom w:w="0" w:type="dxa"/>
        <w:right w:w="0" w:type="dxa"/>
      </w:tblCellMar>
    </w:tblPr>
  </w:style>
  <w:style w:type="character" w:customStyle="1" w:styleId="a4">
    <w:name w:val="Заголовок Знак"/>
    <w:basedOn w:val="a0"/>
    <w:rsid w:val="00FD553B"/>
    <w:rPr>
      <w:rFonts w:ascii="Calibri" w:eastAsia="Calibri" w:hAnsi="Calibri" w:cs="Calibri"/>
      <w:b/>
      <w:sz w:val="72"/>
      <w:szCs w:val="72"/>
      <w:lang w:val="uk-UA"/>
    </w:rPr>
  </w:style>
  <w:style w:type="character" w:customStyle="1" w:styleId="a5">
    <w:name w:val="Подзаголовок Знак"/>
    <w:basedOn w:val="a0"/>
    <w:rsid w:val="00FD553B"/>
    <w:rPr>
      <w:rFonts w:ascii="Georgia" w:eastAsia="Georgia" w:hAnsi="Georgia" w:cs="Georgia"/>
      <w:i/>
      <w:color w:val="666666"/>
      <w:sz w:val="48"/>
      <w:szCs w:val="48"/>
      <w:lang w:val="uk-UA"/>
    </w:rPr>
  </w:style>
  <w:style w:type="paragraph" w:styleId="a6">
    <w:name w:val="Normal (Web)"/>
    <w:uiPriority w:val="99"/>
    <w:unhideWhenUsed/>
    <w:rsid w:val="00FD55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7">
    <w:name w:val="Hyperlink"/>
    <w:basedOn w:val="a0"/>
    <w:uiPriority w:val="99"/>
    <w:unhideWhenUsed/>
    <w:rsid w:val="00FD553B"/>
    <w:rPr>
      <w:color w:val="0563C1" w:themeColor="hyperlink"/>
      <w:u w:val="single"/>
    </w:rPr>
  </w:style>
  <w:style w:type="paragraph" w:styleId="a8">
    <w:name w:val="List Paragraph"/>
    <w:uiPriority w:val="34"/>
    <w:qFormat/>
    <w:rsid w:val="00FD553B"/>
    <w:pPr>
      <w:ind w:left="720"/>
      <w:contextualSpacing/>
    </w:pPr>
  </w:style>
  <w:style w:type="character" w:styleId="a9">
    <w:name w:val="FollowedHyperlink"/>
    <w:basedOn w:val="a0"/>
    <w:uiPriority w:val="99"/>
    <w:semiHidden/>
    <w:unhideWhenUsed/>
    <w:rsid w:val="00FD553B"/>
    <w:rPr>
      <w:color w:val="954F72" w:themeColor="followedHyperlink"/>
      <w:u w:val="single"/>
    </w:rPr>
  </w:style>
  <w:style w:type="character" w:customStyle="1" w:styleId="31">
    <w:name w:val="Стиль3"/>
    <w:basedOn w:val="a0"/>
    <w:uiPriority w:val="1"/>
    <w:rsid w:val="00FD553B"/>
    <w:rPr>
      <w:rFonts w:ascii="Times New Roman" w:hAnsi="Times New Roman" w:cs="Times New Roman" w:hint="default"/>
      <w:b/>
      <w:bCs w:val="0"/>
      <w:sz w:val="20"/>
    </w:rPr>
  </w:style>
  <w:style w:type="paragraph" w:customStyle="1" w:styleId="21">
    <w:name w:val="Основной текст2"/>
    <w:rsid w:val="00FD553B"/>
    <w:pPr>
      <w:shd w:val="clear" w:color="auto" w:fill="FFFFFF"/>
      <w:suppressAutoHyphens/>
      <w:spacing w:after="300" w:line="365" w:lineRule="exact"/>
      <w:ind w:hanging="340"/>
      <w:jc w:val="both"/>
    </w:pPr>
    <w:rPr>
      <w:rFonts w:ascii="Times New Roman" w:eastAsia="Times New Roman" w:hAnsi="Times New Roman" w:cs="Times New Roman"/>
      <w:sz w:val="20"/>
      <w:szCs w:val="20"/>
      <w:lang w:val="ru-RU" w:eastAsia="ru-RU"/>
    </w:rPr>
  </w:style>
  <w:style w:type="character" w:customStyle="1" w:styleId="aa">
    <w:name w:val="Основной текст + Полужирный"/>
    <w:rsid w:val="00FD553B"/>
  </w:style>
  <w:style w:type="character" w:customStyle="1" w:styleId="UnresolvedMention1">
    <w:name w:val="Unresolved Mention1"/>
    <w:basedOn w:val="a0"/>
    <w:uiPriority w:val="99"/>
    <w:semiHidden/>
    <w:unhideWhenUsed/>
    <w:rsid w:val="00FD553B"/>
    <w:rPr>
      <w:color w:val="605E5C"/>
      <w:shd w:val="clear" w:color="auto" w:fill="E1DFDD"/>
    </w:rPr>
  </w:style>
  <w:style w:type="paragraph" w:styleId="ab">
    <w:name w:val="header"/>
    <w:link w:val="ac"/>
    <w:uiPriority w:val="99"/>
    <w:unhideWhenUsed/>
    <w:rsid w:val="00FD553B"/>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FD553B"/>
    <w:rPr>
      <w:rFonts w:ascii="Calibri" w:eastAsia="Calibri" w:hAnsi="Calibri" w:cs="Calibri"/>
      <w:lang w:val="uk-UA"/>
    </w:rPr>
  </w:style>
  <w:style w:type="paragraph" w:styleId="ad">
    <w:name w:val="footer"/>
    <w:link w:val="ae"/>
    <w:uiPriority w:val="99"/>
    <w:unhideWhenUsed/>
    <w:rsid w:val="00FD553B"/>
    <w:pPr>
      <w:tabs>
        <w:tab w:val="center" w:pos="4844"/>
        <w:tab w:val="right" w:pos="9689"/>
      </w:tabs>
      <w:spacing w:after="0" w:line="240" w:lineRule="auto"/>
    </w:pPr>
  </w:style>
  <w:style w:type="character" w:customStyle="1" w:styleId="ae">
    <w:name w:val="Нижний колонтитул Знак"/>
    <w:basedOn w:val="a0"/>
    <w:link w:val="ad"/>
    <w:uiPriority w:val="99"/>
    <w:rsid w:val="00FD553B"/>
    <w:rPr>
      <w:rFonts w:ascii="Calibri" w:eastAsia="Calibri" w:hAnsi="Calibri" w:cs="Calibri"/>
      <w:lang w:val="uk-UA"/>
    </w:rPr>
  </w:style>
  <w:style w:type="character" w:customStyle="1" w:styleId="docdata">
    <w:name w:val="docdata"/>
    <w:aliases w:val="docy,v5,2069,baiaagaaboqcaaad6gmaaax4awaaaaaaaaaaaaaaaaaaaaaaaaaaaaaaaaaaaaaaaaaaaaaaaaaaaaaaaaaaaaaaaaaaaaaaaaaaaaaaaaaaaaaaaaaaaaaaaaaaaaaaaaaaaaaaaaaaaaaaaaaaaaaaaaaaaaaaaaaaaaaaaaaaaaaaaaaaaaaaaaaaaaaaaaaaaaaaaaaaaaaaaaaaaaaaaaaaaaaaaaaaaaa"/>
    <w:uiPriority w:val="99"/>
    <w:rsid w:val="00FD553B"/>
    <w:rPr>
      <w:rFonts w:cs="Times New Roman"/>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a0"/>
    <w:uiPriority w:val="99"/>
    <w:semiHidden/>
    <w:unhideWhenUsed/>
    <w:rsid w:val="00D731E3"/>
    <w:rPr>
      <w:color w:val="605E5C"/>
      <w:shd w:val="clear" w:color="auto" w:fill="E1DFDD"/>
    </w:rPr>
  </w:style>
  <w:style w:type="paragraph" w:styleId="af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paragraph" w:styleId="aff4">
    <w:name w:val="Balloon Text"/>
    <w:basedOn w:val="a"/>
    <w:link w:val="aff5"/>
    <w:uiPriority w:val="99"/>
    <w:semiHidden/>
    <w:unhideWhenUsed/>
    <w:rsid w:val="00EF2602"/>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EF2602"/>
    <w:rPr>
      <w:rFonts w:ascii="Tahoma" w:hAnsi="Tahoma" w:cs="Tahoma"/>
      <w:sz w:val="16"/>
      <w:szCs w:val="16"/>
    </w:rPr>
  </w:style>
  <w:style w:type="character" w:styleId="aff6">
    <w:name w:val="Strong"/>
    <w:basedOn w:val="a0"/>
    <w:uiPriority w:val="22"/>
    <w:qFormat/>
    <w:rsid w:val="00067572"/>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uk" w:eastAsia="uk-UA"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style>
  <w:style w:type="paragraph" w:styleId="1">
    <w:name w:val="heading 1"/>
    <w:basedOn w:val="a"/>
    <w:next w:val="a"/>
    <w:pPr>
      <w:keepNext/>
      <w:keepLines/>
      <w:spacing w:before="480" w:after="120"/>
      <w:outlineLvl w:val="0"/>
    </w:pPr>
    <w:rPr>
      <w:b/>
      <w:bCs/>
      <w:sz w:val="48"/>
      <w:szCs w:val="48"/>
    </w:rPr>
  </w:style>
  <w:style w:type="paragraph" w:styleId="2">
    <w:name w:val="heading 2"/>
    <w:basedOn w:val="a"/>
    <w:next w:val="a"/>
    <w:pPr>
      <w:keepNext/>
      <w:keepLines/>
      <w:spacing w:before="360" w:after="80"/>
      <w:outlineLvl w:val="1"/>
    </w:pPr>
    <w:rPr>
      <w:b/>
      <w:bCs/>
      <w:sz w:val="36"/>
      <w:szCs w:val="36"/>
    </w:rPr>
  </w:style>
  <w:style w:type="paragraph" w:styleId="3">
    <w:name w:val="heading 3"/>
    <w:basedOn w:val="a"/>
    <w:next w:val="a"/>
    <w:pPr>
      <w:keepNext/>
      <w:keepLines/>
      <w:spacing w:before="280" w:after="80"/>
      <w:outlineLvl w:val="2"/>
    </w:pPr>
    <w:rPr>
      <w:b/>
      <w:bCs/>
      <w:sz w:val="28"/>
      <w:szCs w:val="28"/>
    </w:rPr>
  </w:style>
  <w:style w:type="paragraph" w:styleId="4">
    <w:name w:val="heading 4"/>
    <w:basedOn w:val="a"/>
    <w:next w:val="a"/>
    <w:pPr>
      <w:keepNext/>
      <w:keepLines/>
      <w:spacing w:before="240" w:after="40"/>
      <w:outlineLvl w:val="3"/>
    </w:pPr>
    <w:rPr>
      <w:b/>
      <w:bCs/>
      <w:sz w:val="24"/>
      <w:szCs w:val="24"/>
    </w:rPr>
  </w:style>
  <w:style w:type="paragraph" w:styleId="5">
    <w:name w:val="heading 5"/>
    <w:basedOn w:val="a"/>
    <w:next w:val="a"/>
    <w:pPr>
      <w:keepNext/>
      <w:keepLines/>
      <w:spacing w:before="220" w:after="40"/>
      <w:outlineLvl w:val="4"/>
    </w:pPr>
    <w:rPr>
      <w:b/>
      <w:bCs/>
    </w:rPr>
  </w:style>
  <w:style w:type="paragraph" w:styleId="6">
    <w:name w:val="heading 6"/>
    <w:basedOn w:val="a"/>
    <w:next w:val="a"/>
    <w:pPr>
      <w:keepNext/>
      <w:keepLines/>
      <w:spacing w:before="200" w:after="40"/>
      <w:outlineLvl w:val="5"/>
    </w:pPr>
    <w:rPr>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character" w:customStyle="1" w:styleId="10">
    <w:name w:val="Заголовок 1 Знак"/>
    <w:basedOn w:val="a0"/>
    <w:rsid w:val="00FD553B"/>
    <w:rPr>
      <w:rFonts w:ascii="Calibri" w:eastAsia="Calibri" w:hAnsi="Calibri" w:cs="Calibri"/>
      <w:b/>
      <w:sz w:val="48"/>
      <w:szCs w:val="48"/>
      <w:lang w:val="uk-UA"/>
    </w:rPr>
  </w:style>
  <w:style w:type="character" w:customStyle="1" w:styleId="20">
    <w:name w:val="Заголовок 2 Знак"/>
    <w:basedOn w:val="a0"/>
    <w:rsid w:val="00FD553B"/>
    <w:rPr>
      <w:rFonts w:ascii="Calibri" w:eastAsia="Calibri" w:hAnsi="Calibri" w:cs="Calibri"/>
      <w:b/>
      <w:sz w:val="36"/>
      <w:szCs w:val="36"/>
      <w:lang w:val="uk-UA"/>
    </w:rPr>
  </w:style>
  <w:style w:type="character" w:customStyle="1" w:styleId="30">
    <w:name w:val="Заголовок 3 Знак"/>
    <w:basedOn w:val="a0"/>
    <w:rsid w:val="00FD553B"/>
    <w:rPr>
      <w:rFonts w:ascii="Calibri" w:eastAsia="Calibri" w:hAnsi="Calibri" w:cs="Calibri"/>
      <w:b/>
      <w:sz w:val="28"/>
      <w:szCs w:val="28"/>
      <w:lang w:val="uk-UA"/>
    </w:rPr>
  </w:style>
  <w:style w:type="character" w:customStyle="1" w:styleId="40">
    <w:name w:val="Заголовок 4 Знак"/>
    <w:basedOn w:val="a0"/>
    <w:rsid w:val="00FD553B"/>
    <w:rPr>
      <w:rFonts w:ascii="Calibri" w:eastAsia="Calibri" w:hAnsi="Calibri" w:cs="Calibri"/>
      <w:b/>
      <w:sz w:val="24"/>
      <w:szCs w:val="24"/>
      <w:lang w:val="uk-UA"/>
    </w:rPr>
  </w:style>
  <w:style w:type="character" w:customStyle="1" w:styleId="50">
    <w:name w:val="Заголовок 5 Знак"/>
    <w:basedOn w:val="a0"/>
    <w:rsid w:val="00FD553B"/>
    <w:rPr>
      <w:rFonts w:ascii="Calibri" w:eastAsia="Calibri" w:hAnsi="Calibri" w:cs="Calibri"/>
      <w:b/>
      <w:lang w:val="uk-UA"/>
    </w:rPr>
  </w:style>
  <w:style w:type="character" w:customStyle="1" w:styleId="60">
    <w:name w:val="Заголовок 6 Знак"/>
    <w:basedOn w:val="a0"/>
    <w:rsid w:val="00FD553B"/>
    <w:rPr>
      <w:rFonts w:ascii="Calibri" w:eastAsia="Calibri" w:hAnsi="Calibri" w:cs="Calibri"/>
      <w:b/>
      <w:sz w:val="20"/>
      <w:szCs w:val="20"/>
      <w:lang w:val="uk-UA"/>
    </w:rPr>
  </w:style>
  <w:style w:type="table" w:customStyle="1" w:styleId="TableNormal1">
    <w:name w:val="Table Normal1"/>
    <w:rsid w:val="00FD553B"/>
    <w:tblPr>
      <w:tblCellMar>
        <w:top w:w="0" w:type="dxa"/>
        <w:left w:w="0" w:type="dxa"/>
        <w:bottom w:w="0" w:type="dxa"/>
        <w:right w:w="0" w:type="dxa"/>
      </w:tblCellMar>
    </w:tblPr>
  </w:style>
  <w:style w:type="character" w:customStyle="1" w:styleId="a4">
    <w:name w:val="Заголовок Знак"/>
    <w:basedOn w:val="a0"/>
    <w:rsid w:val="00FD553B"/>
    <w:rPr>
      <w:rFonts w:ascii="Calibri" w:eastAsia="Calibri" w:hAnsi="Calibri" w:cs="Calibri"/>
      <w:b/>
      <w:sz w:val="72"/>
      <w:szCs w:val="72"/>
      <w:lang w:val="uk-UA"/>
    </w:rPr>
  </w:style>
  <w:style w:type="character" w:customStyle="1" w:styleId="a5">
    <w:name w:val="Подзаголовок Знак"/>
    <w:basedOn w:val="a0"/>
    <w:rsid w:val="00FD553B"/>
    <w:rPr>
      <w:rFonts w:ascii="Georgia" w:eastAsia="Georgia" w:hAnsi="Georgia" w:cs="Georgia"/>
      <w:i/>
      <w:color w:val="666666"/>
      <w:sz w:val="48"/>
      <w:szCs w:val="48"/>
      <w:lang w:val="uk-UA"/>
    </w:rPr>
  </w:style>
  <w:style w:type="paragraph" w:styleId="a6">
    <w:name w:val="Normal (Web)"/>
    <w:uiPriority w:val="99"/>
    <w:unhideWhenUsed/>
    <w:rsid w:val="00FD553B"/>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a7">
    <w:name w:val="Hyperlink"/>
    <w:basedOn w:val="a0"/>
    <w:uiPriority w:val="99"/>
    <w:unhideWhenUsed/>
    <w:rsid w:val="00FD553B"/>
    <w:rPr>
      <w:color w:val="0563C1" w:themeColor="hyperlink"/>
      <w:u w:val="single"/>
    </w:rPr>
  </w:style>
  <w:style w:type="paragraph" w:styleId="a8">
    <w:name w:val="List Paragraph"/>
    <w:uiPriority w:val="34"/>
    <w:qFormat/>
    <w:rsid w:val="00FD553B"/>
    <w:pPr>
      <w:ind w:left="720"/>
      <w:contextualSpacing/>
    </w:pPr>
  </w:style>
  <w:style w:type="character" w:styleId="a9">
    <w:name w:val="FollowedHyperlink"/>
    <w:basedOn w:val="a0"/>
    <w:uiPriority w:val="99"/>
    <w:semiHidden/>
    <w:unhideWhenUsed/>
    <w:rsid w:val="00FD553B"/>
    <w:rPr>
      <w:color w:val="954F72" w:themeColor="followedHyperlink"/>
      <w:u w:val="single"/>
    </w:rPr>
  </w:style>
  <w:style w:type="character" w:customStyle="1" w:styleId="31">
    <w:name w:val="Стиль3"/>
    <w:basedOn w:val="a0"/>
    <w:uiPriority w:val="1"/>
    <w:rsid w:val="00FD553B"/>
    <w:rPr>
      <w:rFonts w:ascii="Times New Roman" w:hAnsi="Times New Roman" w:cs="Times New Roman" w:hint="default"/>
      <w:b/>
      <w:bCs w:val="0"/>
      <w:sz w:val="20"/>
    </w:rPr>
  </w:style>
  <w:style w:type="paragraph" w:customStyle="1" w:styleId="21">
    <w:name w:val="Основной текст2"/>
    <w:rsid w:val="00FD553B"/>
    <w:pPr>
      <w:shd w:val="clear" w:color="auto" w:fill="FFFFFF"/>
      <w:suppressAutoHyphens/>
      <w:spacing w:after="300" w:line="365" w:lineRule="exact"/>
      <w:ind w:hanging="340"/>
      <w:jc w:val="both"/>
    </w:pPr>
    <w:rPr>
      <w:rFonts w:ascii="Times New Roman" w:eastAsia="Times New Roman" w:hAnsi="Times New Roman" w:cs="Times New Roman"/>
      <w:sz w:val="20"/>
      <w:szCs w:val="20"/>
      <w:lang w:val="ru-RU" w:eastAsia="ru-RU"/>
    </w:rPr>
  </w:style>
  <w:style w:type="character" w:customStyle="1" w:styleId="aa">
    <w:name w:val="Основной текст + Полужирный"/>
    <w:rsid w:val="00FD553B"/>
  </w:style>
  <w:style w:type="character" w:customStyle="1" w:styleId="UnresolvedMention1">
    <w:name w:val="Unresolved Mention1"/>
    <w:basedOn w:val="a0"/>
    <w:uiPriority w:val="99"/>
    <w:semiHidden/>
    <w:unhideWhenUsed/>
    <w:rsid w:val="00FD553B"/>
    <w:rPr>
      <w:color w:val="605E5C"/>
      <w:shd w:val="clear" w:color="auto" w:fill="E1DFDD"/>
    </w:rPr>
  </w:style>
  <w:style w:type="paragraph" w:styleId="ab">
    <w:name w:val="header"/>
    <w:link w:val="ac"/>
    <w:uiPriority w:val="99"/>
    <w:unhideWhenUsed/>
    <w:rsid w:val="00FD553B"/>
    <w:pPr>
      <w:tabs>
        <w:tab w:val="center" w:pos="4844"/>
        <w:tab w:val="right" w:pos="9689"/>
      </w:tabs>
      <w:spacing w:after="0" w:line="240" w:lineRule="auto"/>
    </w:pPr>
  </w:style>
  <w:style w:type="character" w:customStyle="1" w:styleId="ac">
    <w:name w:val="Верхний колонтитул Знак"/>
    <w:basedOn w:val="a0"/>
    <w:link w:val="ab"/>
    <w:uiPriority w:val="99"/>
    <w:rsid w:val="00FD553B"/>
    <w:rPr>
      <w:rFonts w:ascii="Calibri" w:eastAsia="Calibri" w:hAnsi="Calibri" w:cs="Calibri"/>
      <w:lang w:val="uk-UA"/>
    </w:rPr>
  </w:style>
  <w:style w:type="paragraph" w:styleId="ad">
    <w:name w:val="footer"/>
    <w:link w:val="ae"/>
    <w:uiPriority w:val="99"/>
    <w:unhideWhenUsed/>
    <w:rsid w:val="00FD553B"/>
    <w:pPr>
      <w:tabs>
        <w:tab w:val="center" w:pos="4844"/>
        <w:tab w:val="right" w:pos="9689"/>
      </w:tabs>
      <w:spacing w:after="0" w:line="240" w:lineRule="auto"/>
    </w:pPr>
  </w:style>
  <w:style w:type="character" w:customStyle="1" w:styleId="ae">
    <w:name w:val="Нижний колонтитул Знак"/>
    <w:basedOn w:val="a0"/>
    <w:link w:val="ad"/>
    <w:uiPriority w:val="99"/>
    <w:rsid w:val="00FD553B"/>
    <w:rPr>
      <w:rFonts w:ascii="Calibri" w:eastAsia="Calibri" w:hAnsi="Calibri" w:cs="Calibri"/>
      <w:lang w:val="uk-UA"/>
    </w:rPr>
  </w:style>
  <w:style w:type="character" w:customStyle="1" w:styleId="docdata">
    <w:name w:val="docdata"/>
    <w:aliases w:val="docy,v5,2069,baiaagaaboqcaaad6gmaaax4awaaaaaaaaaaaaaaaaaaaaaaaaaaaaaaaaaaaaaaaaaaaaaaaaaaaaaaaaaaaaaaaaaaaaaaaaaaaaaaaaaaaaaaaaaaaaaaaaaaaaaaaaaaaaaaaaaaaaaaaaaaaaaaaaaaaaaaaaaaaaaaaaaaaaaaaaaaaaaaaaaaaaaaaaaaaaaaaaaaaaaaaaaaaaaaaaaaaaaaaaaaaaa"/>
    <w:uiPriority w:val="99"/>
    <w:rsid w:val="00FD553B"/>
    <w:rPr>
      <w:rFonts w:cs="Times New Roman"/>
    </w:rPr>
  </w:style>
  <w:style w:type="table" w:customStyle="1" w:styleId="af">
    <w:basedOn w:val="TableNormal0"/>
    <w:tblPr>
      <w:tblStyleRowBandSize w:val="1"/>
      <w:tblStyleColBandSize w:val="1"/>
      <w:tblCellMar>
        <w:top w:w="0" w:type="dxa"/>
        <w:left w:w="115" w:type="dxa"/>
        <w:bottom w:w="0" w:type="dxa"/>
        <w:right w:w="115" w:type="dxa"/>
      </w:tblCellMar>
    </w:tblPr>
  </w:style>
  <w:style w:type="table" w:customStyle="1" w:styleId="af0">
    <w:basedOn w:val="TableNormal0"/>
    <w:tblPr>
      <w:tblStyleRowBandSize w:val="1"/>
      <w:tblStyleColBandSize w:val="1"/>
      <w:tblCellMar>
        <w:top w:w="0" w:type="dxa"/>
        <w:left w:w="115" w:type="dxa"/>
        <w:bottom w:w="0" w:type="dxa"/>
        <w:right w:w="115" w:type="dxa"/>
      </w:tblCellMar>
    </w:tblPr>
  </w:style>
  <w:style w:type="table" w:customStyle="1" w:styleId="af1">
    <w:basedOn w:val="TableNormal0"/>
    <w:tblPr>
      <w:tblStyleRowBandSize w:val="1"/>
      <w:tblStyleColBandSize w:val="1"/>
      <w:tblCellMar>
        <w:top w:w="0" w:type="dxa"/>
        <w:left w:w="115" w:type="dxa"/>
        <w:bottom w:w="0" w:type="dxa"/>
        <w:right w:w="115" w:type="dxa"/>
      </w:tblCellMar>
    </w:tblPr>
  </w:style>
  <w:style w:type="table" w:customStyle="1" w:styleId="af2">
    <w:basedOn w:val="TableNormal0"/>
    <w:tblPr>
      <w:tblStyleRowBandSize w:val="1"/>
      <w:tblStyleColBandSize w:val="1"/>
      <w:tblCellMar>
        <w:top w:w="0" w:type="dxa"/>
        <w:left w:w="115" w:type="dxa"/>
        <w:bottom w:w="0" w:type="dxa"/>
        <w:right w:w="115" w:type="dxa"/>
      </w:tblCellMar>
    </w:tblPr>
  </w:style>
  <w:style w:type="table" w:customStyle="1" w:styleId="af3">
    <w:basedOn w:val="TableNormal0"/>
    <w:tblPr>
      <w:tblStyleRowBandSize w:val="1"/>
      <w:tblStyleColBandSize w:val="1"/>
      <w:tblCellMar>
        <w:top w:w="0" w:type="dxa"/>
        <w:left w:w="115" w:type="dxa"/>
        <w:bottom w:w="0" w:type="dxa"/>
        <w:right w:w="115" w:type="dxa"/>
      </w:tblCellMar>
    </w:tblPr>
  </w:style>
  <w:style w:type="table" w:customStyle="1" w:styleId="af4">
    <w:basedOn w:val="TableNormal0"/>
    <w:tblPr>
      <w:tblStyleRowBandSize w:val="1"/>
      <w:tblStyleColBandSize w:val="1"/>
      <w:tblCellMar>
        <w:top w:w="0" w:type="dxa"/>
        <w:left w:w="115" w:type="dxa"/>
        <w:bottom w:w="0" w:type="dxa"/>
        <w:right w:w="115" w:type="dxa"/>
      </w:tblCellMar>
    </w:tblPr>
  </w:style>
  <w:style w:type="table" w:customStyle="1" w:styleId="af5">
    <w:basedOn w:val="TableNormal0"/>
    <w:tblPr>
      <w:tblStyleRowBandSize w:val="1"/>
      <w:tblStyleColBandSize w:val="1"/>
      <w:tblCellMar>
        <w:top w:w="0" w:type="dxa"/>
        <w:left w:w="115" w:type="dxa"/>
        <w:bottom w:w="0" w:type="dxa"/>
        <w:right w:w="115" w:type="dxa"/>
      </w:tblCellMar>
    </w:tblPr>
  </w:style>
  <w:style w:type="table" w:customStyle="1" w:styleId="af6">
    <w:basedOn w:val="TableNormal0"/>
    <w:tblPr>
      <w:tblStyleRowBandSize w:val="1"/>
      <w:tblStyleColBandSize w:val="1"/>
      <w:tblCellMar>
        <w:top w:w="0" w:type="dxa"/>
        <w:left w:w="115" w:type="dxa"/>
        <w:bottom w:w="0" w:type="dxa"/>
        <w:right w:w="115" w:type="dxa"/>
      </w:tblCellMar>
    </w:tblPr>
  </w:style>
  <w:style w:type="table" w:customStyle="1" w:styleId="af7">
    <w:basedOn w:val="TableNormal0"/>
    <w:tblPr>
      <w:tblStyleRowBandSize w:val="1"/>
      <w:tblStyleColBandSize w:val="1"/>
      <w:tblCellMar>
        <w:top w:w="0" w:type="dxa"/>
        <w:left w:w="115" w:type="dxa"/>
        <w:bottom w:w="0" w:type="dxa"/>
        <w:right w:w="115" w:type="dxa"/>
      </w:tblCellMar>
    </w:tblPr>
  </w:style>
  <w:style w:type="table" w:customStyle="1" w:styleId="af8">
    <w:basedOn w:val="TableNormal0"/>
    <w:tblPr>
      <w:tblStyleRowBandSize w:val="1"/>
      <w:tblStyleColBandSize w:val="1"/>
      <w:tblCellMar>
        <w:top w:w="0" w:type="dxa"/>
        <w:left w:w="115" w:type="dxa"/>
        <w:bottom w:w="0" w:type="dxa"/>
        <w:right w:w="115" w:type="dxa"/>
      </w:tblCellMar>
    </w:tblPr>
  </w:style>
  <w:style w:type="character" w:customStyle="1" w:styleId="UnresolvedMention">
    <w:name w:val="Unresolved Mention"/>
    <w:basedOn w:val="a0"/>
    <w:uiPriority w:val="99"/>
    <w:semiHidden/>
    <w:unhideWhenUsed/>
    <w:rsid w:val="00D731E3"/>
    <w:rPr>
      <w:color w:val="605E5C"/>
      <w:shd w:val="clear" w:color="auto" w:fill="E1DFDD"/>
    </w:rPr>
  </w:style>
  <w:style w:type="paragraph" w:styleId="af9">
    <w:name w:val="Subtitle"/>
    <w:basedOn w:val="a"/>
    <w:next w:val="a"/>
    <w:pPr>
      <w:keepNext/>
      <w:keepLines/>
      <w:spacing w:before="360" w:after="80"/>
    </w:pPr>
    <w:rPr>
      <w:rFonts w:ascii="Georgia" w:eastAsia="Georgia" w:hAnsi="Georgia" w:cs="Georgia"/>
      <w:i/>
      <w:iCs/>
      <w:color w:val="666666"/>
      <w:sz w:val="48"/>
      <w:szCs w:val="48"/>
    </w:rPr>
  </w:style>
  <w:style w:type="table" w:customStyle="1" w:styleId="afa">
    <w:basedOn w:val="TableNormal0"/>
    <w:tblPr>
      <w:tblStyleRowBandSize w:val="1"/>
      <w:tblStyleColBandSize w:val="1"/>
      <w:tblCellMar>
        <w:top w:w="0" w:type="dxa"/>
        <w:left w:w="115" w:type="dxa"/>
        <w:bottom w:w="0" w:type="dxa"/>
        <w:right w:w="115" w:type="dxa"/>
      </w:tblCellMar>
    </w:tblPr>
  </w:style>
  <w:style w:type="table" w:customStyle="1" w:styleId="afb">
    <w:basedOn w:val="TableNormal0"/>
    <w:tblPr>
      <w:tblStyleRowBandSize w:val="1"/>
      <w:tblStyleColBandSize w:val="1"/>
      <w:tblCellMar>
        <w:top w:w="0" w:type="dxa"/>
        <w:left w:w="115" w:type="dxa"/>
        <w:bottom w:w="0" w:type="dxa"/>
        <w:right w:w="115" w:type="dxa"/>
      </w:tblCellMar>
    </w:tblPr>
  </w:style>
  <w:style w:type="table" w:customStyle="1" w:styleId="afc">
    <w:basedOn w:val="TableNormal0"/>
    <w:tblPr>
      <w:tblStyleRowBandSize w:val="1"/>
      <w:tblStyleColBandSize w:val="1"/>
      <w:tblCellMar>
        <w:top w:w="0" w:type="dxa"/>
        <w:left w:w="115" w:type="dxa"/>
        <w:bottom w:w="0" w:type="dxa"/>
        <w:right w:w="115" w:type="dxa"/>
      </w:tblCellMar>
    </w:tblPr>
  </w:style>
  <w:style w:type="table" w:customStyle="1" w:styleId="afd">
    <w:basedOn w:val="TableNormal0"/>
    <w:tblPr>
      <w:tblStyleRowBandSize w:val="1"/>
      <w:tblStyleColBandSize w:val="1"/>
      <w:tblCellMar>
        <w:top w:w="0" w:type="dxa"/>
        <w:left w:w="115" w:type="dxa"/>
        <w:bottom w:w="0" w:type="dxa"/>
        <w:right w:w="115" w:type="dxa"/>
      </w:tblCellMar>
    </w:tblPr>
  </w:style>
  <w:style w:type="table" w:customStyle="1" w:styleId="afe">
    <w:basedOn w:val="TableNormal0"/>
    <w:tblPr>
      <w:tblStyleRowBandSize w:val="1"/>
      <w:tblStyleColBandSize w:val="1"/>
      <w:tblCellMar>
        <w:top w:w="0" w:type="dxa"/>
        <w:left w:w="115" w:type="dxa"/>
        <w:bottom w:w="0" w:type="dxa"/>
        <w:right w:w="115" w:type="dxa"/>
      </w:tblCellMar>
    </w:tblPr>
  </w:style>
  <w:style w:type="table" w:customStyle="1" w:styleId="aff">
    <w:basedOn w:val="TableNormal0"/>
    <w:tblPr>
      <w:tblStyleRowBandSize w:val="1"/>
      <w:tblStyleColBandSize w:val="1"/>
      <w:tblCellMar>
        <w:top w:w="0" w:type="dxa"/>
        <w:left w:w="115" w:type="dxa"/>
        <w:bottom w:w="0" w:type="dxa"/>
        <w:right w:w="115" w:type="dxa"/>
      </w:tblCellMar>
    </w:tblPr>
  </w:style>
  <w:style w:type="table" w:customStyle="1" w:styleId="aff0">
    <w:basedOn w:val="TableNormal0"/>
    <w:tblPr>
      <w:tblStyleRowBandSize w:val="1"/>
      <w:tblStyleColBandSize w:val="1"/>
      <w:tblCellMar>
        <w:top w:w="0" w:type="dxa"/>
        <w:left w:w="115" w:type="dxa"/>
        <w:bottom w:w="0" w:type="dxa"/>
        <w:right w:w="115" w:type="dxa"/>
      </w:tblCellMar>
    </w:tblPr>
  </w:style>
  <w:style w:type="table" w:customStyle="1" w:styleId="aff1">
    <w:basedOn w:val="TableNormal0"/>
    <w:tblPr>
      <w:tblStyleRowBandSize w:val="1"/>
      <w:tblStyleColBandSize w:val="1"/>
      <w:tblCellMar>
        <w:top w:w="0" w:type="dxa"/>
        <w:left w:w="115" w:type="dxa"/>
        <w:bottom w:w="0" w:type="dxa"/>
        <w:right w:w="115" w:type="dxa"/>
      </w:tblCellMar>
    </w:tblPr>
  </w:style>
  <w:style w:type="table" w:customStyle="1" w:styleId="aff2">
    <w:basedOn w:val="TableNormal0"/>
    <w:tblPr>
      <w:tblStyleRowBandSize w:val="1"/>
      <w:tblStyleColBandSize w:val="1"/>
      <w:tblCellMar>
        <w:top w:w="0" w:type="dxa"/>
        <w:left w:w="115" w:type="dxa"/>
        <w:bottom w:w="0" w:type="dxa"/>
        <w:right w:w="115" w:type="dxa"/>
      </w:tblCellMar>
    </w:tblPr>
  </w:style>
  <w:style w:type="table" w:customStyle="1" w:styleId="aff3">
    <w:basedOn w:val="TableNormal0"/>
    <w:tblPr>
      <w:tblStyleRowBandSize w:val="1"/>
      <w:tblStyleColBandSize w:val="1"/>
      <w:tblCellMar>
        <w:top w:w="0" w:type="dxa"/>
        <w:left w:w="115" w:type="dxa"/>
        <w:bottom w:w="0" w:type="dxa"/>
        <w:right w:w="115" w:type="dxa"/>
      </w:tblCellMar>
    </w:tblPr>
  </w:style>
  <w:style w:type="paragraph" w:styleId="aff4">
    <w:name w:val="Balloon Text"/>
    <w:basedOn w:val="a"/>
    <w:link w:val="aff5"/>
    <w:uiPriority w:val="99"/>
    <w:semiHidden/>
    <w:unhideWhenUsed/>
    <w:rsid w:val="00EF2602"/>
    <w:pPr>
      <w:spacing w:after="0" w:line="240" w:lineRule="auto"/>
    </w:pPr>
    <w:rPr>
      <w:rFonts w:ascii="Tahoma" w:hAnsi="Tahoma" w:cs="Tahoma"/>
      <w:sz w:val="16"/>
      <w:szCs w:val="16"/>
    </w:rPr>
  </w:style>
  <w:style w:type="character" w:customStyle="1" w:styleId="aff5">
    <w:name w:val="Текст выноски Знак"/>
    <w:basedOn w:val="a0"/>
    <w:link w:val="aff4"/>
    <w:uiPriority w:val="99"/>
    <w:semiHidden/>
    <w:rsid w:val="00EF2602"/>
    <w:rPr>
      <w:rFonts w:ascii="Tahoma" w:hAnsi="Tahoma" w:cs="Tahoma"/>
      <w:sz w:val="16"/>
      <w:szCs w:val="16"/>
    </w:rPr>
  </w:style>
  <w:style w:type="character" w:styleId="aff6">
    <w:name w:val="Strong"/>
    <w:basedOn w:val="a0"/>
    <w:uiPriority w:val="22"/>
    <w:qFormat/>
    <w:rsid w:val="0006757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s.zelenshova@kmu.edu.ua" TargetMode="External"/><Relationship Id="rId18" Type="http://schemas.openxmlformats.org/officeDocument/2006/relationships/hyperlink" Target="https://prexam.kmu.edu.ua/" TargetMode="External"/><Relationship Id="rId26" Type="http://schemas.openxmlformats.org/officeDocument/2006/relationships/hyperlink" Target="https://sites.google.com/kmu.edu.ua/humanities-and-social-sciences?usp=sharing&amp;pli=1&amp;authuser=2" TargetMode="External"/><Relationship Id="rId39"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s://drive.google.com/file/d/1qrWHbzlUrK96wtUwAgP_HKg1iHypr8Zt/view?usp=drive_link" TargetMode="External"/><Relationship Id="rId34" Type="http://schemas.openxmlformats.org/officeDocument/2006/relationships/hyperlink" Target="https://ukraineiatefl.wixsite.com/iateflukraine" TargetMode="External"/><Relationship Id="rId7" Type="http://schemas.openxmlformats.org/officeDocument/2006/relationships/footnotes" Target="footnotes.xml"/><Relationship Id="rId12" Type="http://schemas.openxmlformats.org/officeDocument/2006/relationships/hyperlink" Target="https://kmu.edu.ua/kafedra-socialno-gumanitarnix-disciplin/" TargetMode="External"/><Relationship Id="rId17" Type="http://schemas.openxmlformats.org/officeDocument/2006/relationships/hyperlink" Target="https://prexam.kmu.edu.ua/" TargetMode="External"/><Relationship Id="rId25" Type="http://schemas.openxmlformats.org/officeDocument/2006/relationships/hyperlink" Target="https://journals.vnu.volyn.ua/index.php/pedagogy/issue/view/183" TargetMode="External"/><Relationship Id="rId33" Type="http://schemas.openxmlformats.org/officeDocument/2006/relationships/hyperlink" Target="https://sites.google.com/d/1BybQBXY7mt55oEL0GylUL5bwYSiA6Ke2/p/1XDcwWd4AvUxuOgFdYVH3dwik8V2qEfhD" TargetMode="External"/><Relationship Id="rId38" Type="http://schemas.openxmlformats.org/officeDocument/2006/relationships/hyperlink" Target="mailto:social_hum@kmu.edu.ua" TargetMode="External"/><Relationship Id="rId2" Type="http://schemas.openxmlformats.org/officeDocument/2006/relationships/numbering" Target="numbering.xml"/><Relationship Id="rId16" Type="http://schemas.openxmlformats.org/officeDocument/2006/relationships/hyperlink" Target="https://drive.google.com/file/d/16Aqf6T02bL3uoFKNksr8Tnfs1EGb-Sk2/view" TargetMode="External"/><Relationship Id="rId20" Type="http://schemas.openxmlformats.org/officeDocument/2006/relationships/hyperlink" Target="https://drive.google.com/file/d/1C1_GeReAsxtxqdVyvL2XzYbPIrwY0jDt/view?usp=drive_link" TargetMode="External"/><Relationship Id="rId29" Type="http://schemas.openxmlformats.org/officeDocument/2006/relationships/hyperlink" Target="https://www.testcentr.org.ua/sbt/Str_Krok1_M.zip"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a.vitsiuk@kmu.edu.ua" TargetMode="External"/><Relationship Id="rId24" Type="http://schemas.openxmlformats.org/officeDocument/2006/relationships/hyperlink" Target="https://dovkil-zdorov.kiev.ua/journal/uk/issue/view/83/EH_02_119_2026" TargetMode="External"/><Relationship Id="rId32" Type="http://schemas.openxmlformats.org/officeDocument/2006/relationships/hyperlink" Target="https://www.dec.gov.ua/cat_mtd/galuzevi-standarti-ta-klinichni-nastanovi/" TargetMode="External"/><Relationship Id="rId37" Type="http://schemas.openxmlformats.org/officeDocument/2006/relationships/hyperlink" Target="http://www.oxforddictionaries.com/" TargetMode="External"/><Relationship Id="rId40"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hyperlink" Target="https://kmu.edu.ua/pravila-bezpeki-pid-chas-voyennogo-stanu/" TargetMode="External"/><Relationship Id="rId23" Type="http://schemas.openxmlformats.org/officeDocument/2006/relationships/hyperlink" Target="https://academstudies.volyn.ua/index.php/pedagogy/article/view/833/761" TargetMode="External"/><Relationship Id="rId28" Type="http://schemas.openxmlformats.org/officeDocument/2006/relationships/hyperlink" Target="https://www.testcentr.org.ua/sbt/Str_Krok1_M.zip" TargetMode="External"/><Relationship Id="rId36" Type="http://schemas.openxmlformats.org/officeDocument/2006/relationships/hyperlink" Target="http://www.oxforddictionaries.com/" TargetMode="External"/><Relationship Id="rId10" Type="http://schemas.openxmlformats.org/officeDocument/2006/relationships/hyperlink" Target="https://kmu.edu.ua/kafedra-socialno-gumanitarnix-disciplin/" TargetMode="External"/><Relationship Id="rId19" Type="http://schemas.openxmlformats.org/officeDocument/2006/relationships/hyperlink" Target="https://test.testcentr.org.ua/" TargetMode="External"/><Relationship Id="rId31" Type="http://schemas.openxmlformats.org/officeDocument/2006/relationships/hyperlink" Target="https://test.testcentr.org.ua/"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drive.google.com/file/d/1fUnHStFEyWUHK_a1KnJaolO6QBpFZ9z7/view" TargetMode="External"/><Relationship Id="rId22" Type="http://schemas.openxmlformats.org/officeDocument/2006/relationships/hyperlink" Target="https://drive.google.com/file/d/1TsuEeEFaL1BbPmHEZwaVuWZosTjOh05I/view?usp=drive_link" TargetMode="External"/><Relationship Id="rId27" Type="http://schemas.openxmlformats.org/officeDocument/2006/relationships/hyperlink" Target="https://www.testcentr.org.ua/sbt/Str_Krok1_M.zip" TargetMode="External"/><Relationship Id="rId30" Type="http://schemas.openxmlformats.org/officeDocument/2006/relationships/hyperlink" Target="https://www.testcentr.org.ua/sbt/Str_Krok1_M.zip" TargetMode="External"/><Relationship Id="rId35" Type="http://schemas.openxmlformats.org/officeDocument/2006/relationships/hyperlink" Target="https://www.merriam-webster.com/medical"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1S5ZRrzdmS2kR9nhJ71XJsvV0aQ==">CgMxLjAyCGguZ2pkZ3hzMgloLjMwajB6bGw4AHIhMWxESEpCWDI0eWRSTndNSk11MnJLUHRLVmw5bnhjQTZI</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14</Pages>
  <Words>22666</Words>
  <Characters>12920</Characters>
  <Application>Microsoft Office Word</Application>
  <DocSecurity>0</DocSecurity>
  <Lines>107</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35515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Iren</dc:creator>
  <cp:lastModifiedBy>IAEMmblk004</cp:lastModifiedBy>
  <cp:revision>58</cp:revision>
  <dcterms:created xsi:type="dcterms:W3CDTF">2026-01-15T15:02:00Z</dcterms:created>
  <dcterms:modified xsi:type="dcterms:W3CDTF">2026-11-03T20:00:00Z</dcterms:modified>
</cp:coreProperties>
</file>