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55EB5">
      <w:pPr>
        <w:spacing w:line="360" w:lineRule="auto"/>
        <w:jc w:val="center"/>
        <w:rPr>
          <w:rFonts w:ascii="Times New Roman" w:hAnsi="Times New Roman" w:eastAsia="Times New Roman"/>
          <w:sz w:val="28"/>
          <w:szCs w:val="28"/>
          <w:lang w:val="uk-UA" w:eastAsia="ru-RU"/>
        </w:rPr>
      </w:pPr>
      <w:bookmarkStart w:id="0" w:name="_Hlk169635122"/>
      <w:bookmarkEnd w:id="0"/>
      <w:r>
        <w:rPr>
          <w:rFonts w:ascii="Times New Roman" w:hAnsi="Times New Roman" w:eastAsia="Times New Roman"/>
          <w:sz w:val="28"/>
          <w:szCs w:val="28"/>
          <w:lang w:val="uk-UA" w:eastAsia="ru-RU"/>
        </w:rPr>
        <w:t>ПВНЗ «Київський  медичний університет»</w:t>
      </w:r>
    </w:p>
    <w:p w14:paraId="5F3EF3AF">
      <w:pPr>
        <w:spacing w:line="360" w:lineRule="auto"/>
        <w:jc w:val="center"/>
        <w:rPr>
          <w:rFonts w:ascii="Times New Roman" w:hAnsi="Times New Roman" w:eastAsia="Times New Roman"/>
          <w:sz w:val="28"/>
          <w:szCs w:val="28"/>
          <w:lang w:val="uk-UA" w:eastAsia="ru-RU"/>
        </w:rPr>
      </w:pPr>
      <w:r>
        <w:rPr>
          <w:rFonts w:ascii="Times New Roman" w:hAnsi="Times New Roman" w:eastAsia="Times New Roman"/>
          <w:sz w:val="28"/>
          <w:szCs w:val="28"/>
          <w:lang w:val="uk-UA" w:eastAsia="ru-RU"/>
        </w:rPr>
        <w:t>Кафедра акушерства і гінекології</w:t>
      </w:r>
    </w:p>
    <w:p w14:paraId="0D1767AE">
      <w:pPr>
        <w:spacing w:line="360" w:lineRule="auto"/>
        <w:rPr>
          <w:rFonts w:ascii="Times New Roman" w:hAnsi="Times New Roman" w:eastAsia="Times New Roman"/>
          <w:sz w:val="28"/>
          <w:szCs w:val="28"/>
          <w:lang w:val="uk-UA" w:eastAsia="ru-RU"/>
        </w:rPr>
      </w:pPr>
    </w:p>
    <w:p w14:paraId="55F12F4A">
      <w:pPr>
        <w:spacing w:line="360" w:lineRule="auto"/>
        <w:rPr>
          <w:rFonts w:ascii="Times New Roman" w:hAnsi="Times New Roman" w:eastAsia="Times New Roman"/>
          <w:sz w:val="28"/>
          <w:szCs w:val="28"/>
          <w:lang w:val="uk-UA" w:eastAsia="ru-RU"/>
        </w:rPr>
      </w:pPr>
    </w:p>
    <w:p w14:paraId="073DAA75">
      <w:pPr>
        <w:spacing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3C0F24A">
      <w:pPr>
        <w:spacing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7C1BEC07">
      <w:pPr>
        <w:spacing w:line="360" w:lineRule="auto"/>
        <w:rPr>
          <w:rFonts w:ascii="Times New Roman" w:hAnsi="Times New Roman" w:eastAsia="Times New Roman"/>
          <w:sz w:val="28"/>
          <w:szCs w:val="28"/>
          <w:lang w:val="uk-UA" w:eastAsia="ru-RU"/>
        </w:rPr>
      </w:pPr>
    </w:p>
    <w:p w14:paraId="10C3A6E3">
      <w:pPr>
        <w:pStyle w:val="5"/>
        <w:spacing w:line="360" w:lineRule="auto"/>
        <w:ind w:firstLine="426"/>
        <w:jc w:val="center"/>
        <w:rPr>
          <w:b/>
          <w:szCs w:val="28"/>
        </w:rPr>
      </w:pPr>
    </w:p>
    <w:p w14:paraId="633075AC">
      <w:pPr>
        <w:pStyle w:val="5"/>
        <w:spacing w:line="360" w:lineRule="auto"/>
        <w:ind w:firstLine="426"/>
        <w:jc w:val="center"/>
        <w:rPr>
          <w:b/>
          <w:szCs w:val="28"/>
        </w:rPr>
      </w:pPr>
    </w:p>
    <w:p w14:paraId="563ABF01">
      <w:pPr>
        <w:pStyle w:val="5"/>
        <w:spacing w:line="360" w:lineRule="auto"/>
        <w:ind w:firstLine="426"/>
        <w:jc w:val="center"/>
        <w:rPr>
          <w:b/>
          <w:szCs w:val="28"/>
        </w:rPr>
      </w:pPr>
      <w:r>
        <w:rPr>
          <w:b/>
          <w:szCs w:val="28"/>
        </w:rPr>
        <w:t>ГІПЕРТЕНЗИВНІ СТАНИ У ВАГІТНИХ.</w:t>
      </w:r>
    </w:p>
    <w:p w14:paraId="26BE69F3">
      <w:pPr>
        <w:pStyle w:val="5"/>
        <w:spacing w:line="360" w:lineRule="auto"/>
        <w:ind w:firstLine="426"/>
        <w:jc w:val="center"/>
        <w:rPr>
          <w:b/>
          <w:szCs w:val="28"/>
        </w:rPr>
      </w:pPr>
      <w:r>
        <w:rPr>
          <w:b/>
          <w:szCs w:val="28"/>
        </w:rPr>
        <w:t>ПРЕЕКЛАМПСІЯ, ЕКЛАМПСІЯ</w:t>
      </w:r>
    </w:p>
    <w:p w14:paraId="71F347EC">
      <w:pPr>
        <w:widowControl w:val="0"/>
        <w:autoSpaceDE w:val="0"/>
        <w:autoSpaceDN w:val="0"/>
        <w:spacing w:line="360" w:lineRule="auto"/>
        <w:ind w:left="-142" w:right="1"/>
        <w:jc w:val="center"/>
        <w:rPr>
          <w:rFonts w:ascii="Times New Roman" w:hAnsi="Times New Roman" w:eastAsia="Times New Roman"/>
          <w:b/>
          <w:bCs/>
          <w:caps/>
          <w:snapToGrid w:val="0"/>
          <w:sz w:val="28"/>
          <w:szCs w:val="28"/>
          <w:lang w:val="uk-UA" w:eastAsia="ru-RU"/>
        </w:rPr>
      </w:pPr>
    </w:p>
    <w:p w14:paraId="1D1B0EDD">
      <w:pPr>
        <w:widowControl w:val="0"/>
        <w:autoSpaceDE w:val="0"/>
        <w:autoSpaceDN w:val="0"/>
        <w:spacing w:line="360" w:lineRule="auto"/>
        <w:ind w:left="-142" w:right="1"/>
        <w:jc w:val="center"/>
        <w:rPr>
          <w:rFonts w:ascii="Times New Roman" w:hAnsi="Times New Roman" w:eastAsia="Times New Roman"/>
          <w:b/>
          <w:bCs/>
          <w:caps/>
          <w:snapToGrid w:val="0"/>
          <w:sz w:val="28"/>
          <w:szCs w:val="28"/>
          <w:lang w:val="uk-UA" w:eastAsia="ru-RU"/>
        </w:rPr>
      </w:pPr>
    </w:p>
    <w:p w14:paraId="204EFF1F">
      <w:pPr>
        <w:spacing w:line="360" w:lineRule="auto"/>
        <w:jc w:val="center"/>
        <w:outlineLvl w:val="0"/>
        <w:rPr>
          <w:rFonts w:ascii="Times New Roman" w:hAnsi="Times New Roman" w:eastAsia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val="uk-UA" w:eastAsia="ru-RU"/>
        </w:rPr>
        <w:t>Навчальний посібник</w:t>
      </w:r>
    </w:p>
    <w:p w14:paraId="78924801">
      <w:pPr>
        <w:spacing w:line="360" w:lineRule="auto"/>
        <w:jc w:val="center"/>
        <w:outlineLvl w:val="0"/>
        <w:rPr>
          <w:rFonts w:ascii="Times New Roman" w:hAnsi="Times New Roman" w:eastAsia="Times New Roman"/>
          <w:sz w:val="28"/>
          <w:szCs w:val="28"/>
          <w:lang w:val="uk-UA" w:eastAsia="ru-RU"/>
        </w:rPr>
      </w:pPr>
      <w:r>
        <w:rPr>
          <w:rFonts w:ascii="Times New Roman" w:hAnsi="Times New Roman" w:eastAsia="Times New Roman"/>
          <w:sz w:val="28"/>
          <w:szCs w:val="28"/>
          <w:lang w:val="uk-UA" w:eastAsia="ru-RU"/>
        </w:rPr>
        <w:t xml:space="preserve">з  дисципліни «акушерство та гінекологія»                                                                                               </w:t>
      </w:r>
    </w:p>
    <w:p w14:paraId="1EE14EA5">
      <w:pPr>
        <w:spacing w:line="360" w:lineRule="auto"/>
        <w:jc w:val="center"/>
        <w:rPr>
          <w:rFonts w:ascii="Times New Roman" w:hAnsi="Times New Roman" w:eastAsia="Times New Roman"/>
          <w:sz w:val="28"/>
          <w:szCs w:val="28"/>
          <w:lang w:val="uk-UA" w:eastAsia="ru-RU"/>
        </w:rPr>
      </w:pPr>
      <w:r>
        <w:rPr>
          <w:rFonts w:ascii="Times New Roman" w:hAnsi="Times New Roman" w:eastAsia="Times New Roman"/>
          <w:sz w:val="28"/>
          <w:szCs w:val="28"/>
          <w:lang w:val="uk-UA" w:eastAsia="ru-RU"/>
        </w:rPr>
        <w:t xml:space="preserve">для студентів  6  курсу зі спеціальності 222 «Медицина»  та лікарів-інтернів акушерів-гінекологів </w:t>
      </w:r>
    </w:p>
    <w:p w14:paraId="4492C238">
      <w:pPr>
        <w:spacing w:line="360" w:lineRule="auto"/>
        <w:rPr>
          <w:rFonts w:ascii="Times New Roman" w:hAnsi="Times New Roman" w:eastAsia="Times New Roman"/>
          <w:sz w:val="28"/>
          <w:szCs w:val="28"/>
          <w:lang w:val="uk-UA" w:eastAsia="ru-RU"/>
        </w:rPr>
      </w:pPr>
    </w:p>
    <w:p w14:paraId="4D31B39D">
      <w:pPr>
        <w:spacing w:line="360" w:lineRule="auto"/>
        <w:rPr>
          <w:rFonts w:ascii="Times New Roman" w:hAnsi="Times New Roman" w:eastAsia="Times New Roman"/>
          <w:sz w:val="28"/>
          <w:szCs w:val="28"/>
          <w:lang w:val="uk-UA" w:eastAsia="ru-RU"/>
        </w:rPr>
      </w:pPr>
    </w:p>
    <w:p w14:paraId="5DA32881">
      <w:pPr>
        <w:spacing w:line="360" w:lineRule="auto"/>
        <w:outlineLvl w:val="0"/>
        <w:rPr>
          <w:rFonts w:ascii="Times New Roman" w:hAnsi="Times New Roman" w:eastAsia="Times New Roman"/>
          <w:sz w:val="28"/>
          <w:szCs w:val="28"/>
          <w:lang w:val="uk-UA" w:eastAsia="ru-RU"/>
        </w:rPr>
      </w:pPr>
    </w:p>
    <w:p w14:paraId="27BDF1FF">
      <w:pPr>
        <w:jc w:val="center"/>
        <w:outlineLvl w:val="0"/>
        <w:rPr>
          <w:rFonts w:ascii="Times New Roman" w:hAnsi="Times New Roman" w:eastAsia="Times New Roman"/>
          <w:sz w:val="28"/>
          <w:szCs w:val="28"/>
          <w:lang w:val="uk-UA" w:eastAsia="ru-RU"/>
        </w:rPr>
      </w:pPr>
      <w:r>
        <w:rPr>
          <w:rFonts w:ascii="Times New Roman" w:hAnsi="Times New Roman" w:eastAsia="Times New Roman"/>
          <w:sz w:val="28"/>
          <w:szCs w:val="28"/>
          <w:lang w:val="uk-UA" w:eastAsia="ru-RU"/>
        </w:rPr>
        <w:t>Київ  2024</w:t>
      </w:r>
    </w:p>
    <w:p w14:paraId="2F73D9B0">
      <w:pPr>
        <w:spacing w:line="360" w:lineRule="auto"/>
        <w:outlineLvl w:val="0"/>
        <w:rPr>
          <w:rFonts w:ascii="Times New Roman" w:hAnsi="Times New Roman" w:eastAsia="Times New Roman"/>
          <w:sz w:val="28"/>
          <w:szCs w:val="28"/>
          <w:lang w:val="uk-UA" w:eastAsia="ru-RU"/>
        </w:rPr>
      </w:pPr>
    </w:p>
    <w:p w14:paraId="5755BBB9">
      <w:pPr>
        <w:spacing w:line="360" w:lineRule="auto"/>
        <w:outlineLvl w:val="0"/>
        <w:rPr>
          <w:rFonts w:ascii="Times New Roman" w:hAnsi="Times New Roman" w:eastAsia="Times New Roman"/>
          <w:sz w:val="28"/>
          <w:szCs w:val="28"/>
          <w:lang w:val="uk-UA" w:eastAsia="ru-RU"/>
        </w:rPr>
      </w:pPr>
    </w:p>
    <w:p w14:paraId="44974FE6">
      <w:pPr>
        <w:spacing w:line="360" w:lineRule="auto"/>
        <w:outlineLvl w:val="0"/>
        <w:rPr>
          <w:rFonts w:ascii="Times New Roman" w:hAnsi="Times New Roman" w:eastAsia="Times New Roman"/>
          <w:sz w:val="28"/>
          <w:szCs w:val="28"/>
          <w:lang w:val="uk-UA" w:eastAsia="ru-RU"/>
        </w:rPr>
      </w:pPr>
    </w:p>
    <w:p w14:paraId="024FE9EB">
      <w:pPr>
        <w:spacing w:line="360" w:lineRule="auto"/>
        <w:outlineLvl w:val="0"/>
        <w:rPr>
          <w:rFonts w:ascii="Times New Roman" w:hAnsi="Times New Roman" w:eastAsia="Times New Roman"/>
          <w:sz w:val="28"/>
          <w:szCs w:val="28"/>
          <w:lang w:val="uk-UA" w:eastAsia="ru-RU"/>
        </w:rPr>
      </w:pPr>
    </w:p>
    <w:p w14:paraId="40B236E2">
      <w:pPr>
        <w:spacing w:line="360" w:lineRule="auto"/>
        <w:outlineLvl w:val="0"/>
        <w:rPr>
          <w:rFonts w:ascii="Times New Roman" w:hAnsi="Times New Roman" w:eastAsia="Times New Roman"/>
          <w:sz w:val="28"/>
          <w:szCs w:val="28"/>
          <w:lang w:val="uk-UA" w:eastAsia="ru-RU"/>
        </w:rPr>
      </w:pPr>
    </w:p>
    <w:p w14:paraId="12CD2856">
      <w:pPr>
        <w:spacing w:line="360" w:lineRule="auto"/>
        <w:outlineLvl w:val="0"/>
        <w:rPr>
          <w:rFonts w:ascii="Times New Roman" w:hAnsi="Times New Roman" w:eastAsia="Times New Roman"/>
          <w:sz w:val="28"/>
          <w:szCs w:val="28"/>
          <w:lang w:val="uk-UA" w:eastAsia="ru-RU"/>
        </w:rPr>
      </w:pPr>
    </w:p>
    <w:p w14:paraId="5A5274B2">
      <w:pPr>
        <w:spacing w:line="360" w:lineRule="auto"/>
        <w:outlineLvl w:val="0"/>
        <w:rPr>
          <w:rFonts w:ascii="Times New Roman" w:hAnsi="Times New Roman" w:eastAsia="Times New Roman"/>
          <w:sz w:val="28"/>
          <w:szCs w:val="28"/>
          <w:lang w:val="uk-UA" w:eastAsia="ru-RU"/>
        </w:rPr>
      </w:pPr>
    </w:p>
    <w:p w14:paraId="290D82A7">
      <w:pPr>
        <w:pStyle w:val="4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51E77B">
      <w:pPr>
        <w:pStyle w:val="4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УДК 618.3-06:616.12-008.331.31-037:616.8-009.24</w:t>
      </w:r>
    </w:p>
    <w:p w14:paraId="2E677587">
      <w:pPr>
        <w:pStyle w:val="4"/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Рекомендувала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Наукова рада Київського медичного університету  (Протокол № 11 від 25 червня 2024 року) як керівництво для студентів старших курсів і лікарів-інтернів акушерів-гінекологів.</w:t>
      </w:r>
    </w:p>
    <w:p w14:paraId="7D3B4818">
      <w:pPr>
        <w:spacing w:line="360" w:lineRule="auto"/>
        <w:outlineLvl w:val="0"/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Авторський колектив: </w:t>
      </w: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 xml:space="preserve">д.мед.н,  профессор А.Я. Сенчук,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д.мед.н., професор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Ю.Я. Круть,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к.мед.н., доцент А.В.</w:t>
      </w: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Заболотна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к.мед.н., доцент І.О. Доскоч</w:t>
      </w:r>
    </w:p>
    <w:p w14:paraId="60BD9AE0">
      <w:pPr>
        <w:pStyle w:val="5"/>
        <w:spacing w:line="360" w:lineRule="auto"/>
        <w:ind w:firstLine="426"/>
        <w:jc w:val="center"/>
        <w:rPr>
          <w:b/>
          <w:szCs w:val="28"/>
        </w:rPr>
      </w:pPr>
    </w:p>
    <w:p w14:paraId="0142C128">
      <w:pPr>
        <w:pStyle w:val="5"/>
        <w:spacing w:line="360" w:lineRule="auto"/>
        <w:ind w:firstLine="426"/>
        <w:rPr>
          <w:b/>
          <w:szCs w:val="28"/>
        </w:rPr>
      </w:pPr>
      <w:r>
        <w:rPr>
          <w:szCs w:val="28"/>
        </w:rPr>
        <w:t xml:space="preserve">А.Я. Сенчук, </w:t>
      </w:r>
      <w:r>
        <w:rPr>
          <w:iCs/>
          <w:szCs w:val="28"/>
        </w:rPr>
        <w:t>Ю.Я. Круть,</w:t>
      </w:r>
      <w:r>
        <w:rPr>
          <w:szCs w:val="28"/>
        </w:rPr>
        <w:t xml:space="preserve"> А.В. Заболотна, І.О. Доскоч Гіпертензивні стани у вагітних. Прееклампсія, еклампсія</w:t>
      </w:r>
      <w:r>
        <w:rPr>
          <w:bCs/>
          <w:szCs w:val="28"/>
        </w:rPr>
        <w:t xml:space="preserve"> / Навчальний посібник. – К.:</w:t>
      </w:r>
      <w:r>
        <w:rPr>
          <w:szCs w:val="28"/>
        </w:rPr>
        <w:t xml:space="preserve"> Видавництво.   </w:t>
      </w:r>
      <w:r>
        <w:rPr>
          <w:szCs w:val="28"/>
          <w:lang w:val="ru-RU"/>
        </w:rPr>
        <w:t>2024. –   с.</w:t>
      </w:r>
    </w:p>
    <w:p w14:paraId="64EB6AB3">
      <w:pPr>
        <w:pStyle w:val="5"/>
        <w:spacing w:line="360" w:lineRule="auto"/>
        <w:ind w:firstLine="426"/>
        <w:jc w:val="center"/>
        <w:rPr>
          <w:b/>
          <w:szCs w:val="28"/>
        </w:rPr>
      </w:pPr>
    </w:p>
    <w:p w14:paraId="0078B2D7">
      <w:pPr>
        <w:spacing w:line="259" w:lineRule="auto"/>
        <w:ind w:firstLine="425"/>
        <w:jc w:val="both"/>
        <w:rPr>
          <w:rFonts w:ascii="Times New Roman" w:hAnsi="Times New Roman" w:eastAsia="Times New Roman" w:cs="Times New Roman"/>
          <w:bCs/>
          <w:snapToGrid w:val="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zh-CN"/>
        </w:rPr>
        <w:t xml:space="preserve">У навчально-методичному посібнику наведено сучасні дані про гіпертензивні стани у вагітних. </w:t>
      </w:r>
      <w:r>
        <w:rPr>
          <w:rFonts w:ascii="Times New Roman" w:hAnsi="Times New Roman" w:eastAsia="Times New Roman" w:cs="Times New Roman"/>
          <w:bCs/>
          <w:snapToGrid w:val="0"/>
          <w:sz w:val="28"/>
          <w:szCs w:val="28"/>
          <w:lang w:val="uk-UA" w:eastAsia="ru-RU"/>
        </w:rPr>
        <w:t xml:space="preserve">Згідно з навчальною програмою подано прийняті в Україні термінологію та класифікацію </w:t>
      </w:r>
      <w:r>
        <w:rPr>
          <w:rFonts w:ascii="Times New Roman" w:hAnsi="Times New Roman" w:cs="Times New Roman"/>
          <w:bCs/>
          <w:sz w:val="28"/>
          <w:szCs w:val="28"/>
          <w:lang w:val="uk-UA" w:eastAsia="zh-CN"/>
        </w:rPr>
        <w:t>гіпертензивні стани у вагітних</w:t>
      </w:r>
      <w:r>
        <w:rPr>
          <w:rFonts w:ascii="Times New Roman" w:hAnsi="Times New Roman" w:eastAsia="Times New Roman" w:cs="Times New Roman"/>
          <w:bCs/>
          <w:snapToGrid w:val="0"/>
          <w:sz w:val="28"/>
          <w:szCs w:val="28"/>
          <w:lang w:val="uk-UA" w:eastAsia="ru-RU"/>
        </w:rPr>
        <w:t>, викладено провідні концепції етіології і патогенезу, клінічну симптоматику, критерії діагностики, а також принципи вибору тактики ведення таких пацієнток, які засновані на принципах доказової медицини.</w:t>
      </w:r>
    </w:p>
    <w:p w14:paraId="31718480">
      <w:pPr>
        <w:spacing w:line="259" w:lineRule="auto"/>
        <w:ind w:firstLine="425"/>
        <w:jc w:val="both"/>
        <w:rPr>
          <w:rFonts w:ascii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  <w:t xml:space="preserve">Для студентів 6 курсу зі спеціальностей 222 «Медицина» та лікарів-інтернів акушерів-гінекологів. </w:t>
      </w:r>
    </w:p>
    <w:p w14:paraId="148C462F">
      <w:pPr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</w:pPr>
      <w:bookmarkStart w:id="1" w:name="_GoBack"/>
      <w:bookmarkEnd w:id="1"/>
    </w:p>
    <w:p w14:paraId="7CB28269">
      <w:pPr>
        <w:spacing w:line="259" w:lineRule="auto"/>
        <w:ind w:firstLine="425"/>
        <w:rPr>
          <w:rFonts w:ascii="Times New Roman" w:hAnsi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sz w:val="28"/>
          <w:szCs w:val="28"/>
          <w:lang w:val="uk-UA" w:eastAsia="zh-CN"/>
        </w:rPr>
        <w:t>Рецензенти:</w:t>
      </w:r>
    </w:p>
    <w:p w14:paraId="6741E21D">
      <w:pPr>
        <w:spacing w:line="259" w:lineRule="auto"/>
        <w:ind w:firstLine="425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iCs/>
          <w:sz w:val="28"/>
          <w:szCs w:val="28"/>
          <w:lang w:val="uk-UA" w:eastAsia="zh-CN"/>
        </w:rPr>
        <w:t xml:space="preserve">Заболотнов Віталій Олександрович </w:t>
      </w:r>
      <w:r>
        <w:rPr>
          <w:rFonts w:ascii="Times New Roman" w:hAnsi="Times New Roman"/>
          <w:sz w:val="28"/>
          <w:szCs w:val="28"/>
          <w:lang w:val="uk-UA" w:eastAsia="zh-CN"/>
        </w:rPr>
        <w:t>– д.мед.н., професор, завідувач кафедри «Сестринська справа», Житомирського медичного інституту, Житомирської обласної ради;</w:t>
      </w:r>
    </w:p>
    <w:p w14:paraId="13883CB3">
      <w:pPr>
        <w:spacing w:line="259" w:lineRule="auto"/>
        <w:ind w:firstLine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Шаповал Микола Віталійович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eastAsia="zh-CN"/>
        </w:rPr>
        <w:t xml:space="preserve"> д.мед.н., професор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кафедри акушерства та гінекології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Одеського національного медичного університету </w:t>
      </w:r>
    </w:p>
    <w:p w14:paraId="6C8D50A1">
      <w:pPr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val="uk-UA" w:eastAsia="ru-RU"/>
        </w:rPr>
      </w:pPr>
    </w:p>
    <w:p w14:paraId="00575ABE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ISBN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14:paraId="3240C8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© </w:t>
      </w:r>
      <w:r>
        <w:rPr>
          <w:rFonts w:ascii="Times New Roman" w:hAnsi="Times New Roman" w:cs="Times New Roman"/>
          <w:sz w:val="28"/>
          <w:szCs w:val="28"/>
          <w:lang w:val="uk-UA"/>
        </w:rPr>
        <w:t>А.Я. Сенчук</w:t>
      </w:r>
      <w:r>
        <w:rPr>
          <w:rFonts w:ascii="Times New Roman" w:hAnsi="Times New Roman" w:cs="Times New Roman"/>
          <w:sz w:val="28"/>
          <w:szCs w:val="28"/>
        </w:rPr>
        <w:t xml:space="preserve"> та співавт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</w:p>
    <w:p w14:paraId="7AD85460">
      <w:pPr>
        <w:spacing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3D54DAD">
      <w:pPr>
        <w:pStyle w:val="6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108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2F7900A">
      <w:pPr>
        <w:pStyle w:val="6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108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ЗМІСТ</w:t>
      </w:r>
    </w:p>
    <w:p w14:paraId="2E5D96A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769D9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І. Науково-методичне обґрунтування теми</w:t>
      </w:r>
      <w:r>
        <w:rPr>
          <w:rFonts w:ascii="Times New Roman" w:hAnsi="Times New Roman"/>
          <w:bCs/>
          <w:sz w:val="28"/>
          <w:szCs w:val="28"/>
          <w:lang w:val="uk-UA"/>
        </w:rPr>
        <w:t>……………………………..8</w:t>
      </w:r>
    </w:p>
    <w:p w14:paraId="12BA1F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ІІ. Навчально-виховні цілі</w:t>
      </w:r>
      <w:r>
        <w:rPr>
          <w:rFonts w:ascii="Times New Roman" w:hAnsi="Times New Roman"/>
          <w:bCs/>
          <w:sz w:val="28"/>
          <w:szCs w:val="28"/>
          <w:lang w:val="uk-UA"/>
        </w:rPr>
        <w:t>………………………………………………....8</w:t>
      </w:r>
    </w:p>
    <w:p w14:paraId="095070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IIІ. Базові знання</w:t>
      </w:r>
      <w:r>
        <w:rPr>
          <w:rFonts w:ascii="Times New Roman" w:hAnsi="Times New Roman"/>
          <w:bCs/>
          <w:sz w:val="28"/>
          <w:szCs w:val="28"/>
          <w:lang w:val="uk-UA"/>
        </w:rPr>
        <w:t>……………………………………………………………10</w:t>
      </w:r>
    </w:p>
    <w:p w14:paraId="6DE82FDD">
      <w:pPr>
        <w:widowControl w:val="0"/>
        <w:autoSpaceDE w:val="0"/>
        <w:autoSpaceDN w:val="0"/>
        <w:spacing w:line="360" w:lineRule="auto"/>
        <w:rPr>
          <w:rFonts w:ascii="Times New Roman" w:hAnsi="Times New Roman" w:eastAsia="Times New Roman"/>
          <w:b/>
          <w:bCs/>
          <w:caps/>
          <w:sz w:val="28"/>
          <w:szCs w:val="28"/>
          <w:lang w:val="uk-UA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uk-UA" w:eastAsia="ru-RU"/>
        </w:rPr>
        <w:t>I</w:t>
      </w:r>
      <w:r>
        <w:rPr>
          <w:rFonts w:ascii="Times New Roman" w:hAnsi="Times New Roman" w:eastAsia="Times New Roman"/>
          <w:b/>
          <w:bCs/>
          <w:sz w:val="28"/>
          <w:szCs w:val="28"/>
          <w:lang w:val="en-US" w:eastAsia="ru-RU"/>
        </w:rPr>
        <w:t>V</w:t>
      </w:r>
      <w:r>
        <w:rPr>
          <w:rFonts w:ascii="Times New Roman" w:hAnsi="Times New Roman" w:eastAsia="Times New Roman"/>
          <w:b/>
          <w:bCs/>
          <w:sz w:val="28"/>
          <w:szCs w:val="28"/>
          <w:lang w:val="uk-UA" w:eastAsia="ru-RU"/>
        </w:rPr>
        <w:t>. Міждисциплінарна інтеграція</w:t>
      </w:r>
      <w:r>
        <w:rPr>
          <w:rFonts w:ascii="Times New Roman" w:hAnsi="Times New Roman" w:eastAsia="Times New Roman"/>
          <w:sz w:val="28"/>
          <w:szCs w:val="28"/>
          <w:lang w:val="uk-UA" w:eastAsia="ru-RU"/>
        </w:rPr>
        <w:t>………………………………………...9</w:t>
      </w:r>
    </w:p>
    <w:p w14:paraId="7F811C8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eastAsia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V. Зміст навчального матеріалу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…………………………………………..12</w:t>
      </w:r>
    </w:p>
    <w:p w14:paraId="3B356C0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Епідеміологія та в</w:t>
      </w:r>
      <w:r>
        <w:rPr>
          <w:rFonts w:ascii="Times New Roman" w:hAnsi="Times New Roman" w:cs="Times New Roman"/>
          <w:b/>
          <w:sz w:val="28"/>
          <w:szCs w:val="28"/>
        </w:rPr>
        <w:t>изначення гіпертензивних станів вагітності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……..12</w:t>
      </w:r>
    </w:p>
    <w:p w14:paraId="5557E25F">
      <w:pPr>
        <w:pStyle w:val="5"/>
        <w:spacing w:line="360" w:lineRule="auto"/>
        <w:ind w:firstLine="0"/>
        <w:rPr>
          <w:b/>
          <w:bCs/>
          <w:szCs w:val="28"/>
        </w:rPr>
      </w:pPr>
      <w:r>
        <w:rPr>
          <w:b/>
          <w:bCs/>
          <w:szCs w:val="28"/>
        </w:rPr>
        <w:t xml:space="preserve">Класифікація гіпертензивних станів під час вагітності, </w:t>
      </w:r>
    </w:p>
    <w:p w14:paraId="1AA5D046">
      <w:pPr>
        <w:pStyle w:val="5"/>
        <w:spacing w:line="360" w:lineRule="auto"/>
        <w:ind w:firstLine="0"/>
        <w:rPr>
          <w:b/>
          <w:bCs/>
          <w:szCs w:val="28"/>
        </w:rPr>
      </w:pPr>
      <w:r>
        <w:rPr>
          <w:b/>
          <w:bCs/>
        </w:rPr>
        <w:t>пологів та у післяпологовому періоді НК 025:2021……………………..</w:t>
      </w:r>
      <w:r>
        <w:t>15</w:t>
      </w:r>
    </w:p>
    <w:p w14:paraId="19EC5C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eastAsia="Calibri"/>
          <w:bCs/>
          <w:sz w:val="28"/>
          <w:szCs w:val="28"/>
          <w:lang w:val="uk-UA"/>
        </w:rPr>
      </w:pPr>
      <w:r>
        <w:rPr>
          <w:rFonts w:ascii="Times New Roman" w:hAnsi="Times New Roman" w:eastAsia="Times New Roman" w:cs="Times New Roman"/>
          <w:color w:val="293A55"/>
          <w:sz w:val="28"/>
          <w:szCs w:val="28"/>
          <w:lang w:val="uk-UA"/>
        </w:rPr>
        <w:t xml:space="preserve">Класифікація </w:t>
      </w:r>
      <w:r>
        <w:rPr>
          <w:rFonts w:ascii="Times New Roman" w:hAnsi="Times New Roman" w:cs="Times New Roman"/>
          <w:sz w:val="28"/>
          <w:szCs w:val="28"/>
          <w:lang w:val="uk-UA"/>
        </w:rPr>
        <w:t>хронічної артеріальної гіпертензії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eastAsia="Calibri"/>
          <w:bCs/>
          <w:sz w:val="28"/>
          <w:szCs w:val="28"/>
          <w:lang w:val="uk-UA"/>
        </w:rPr>
        <w:t>………………………….16</w:t>
      </w:r>
    </w:p>
    <w:p w14:paraId="1BA4B0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Фактори ризику виникнення гіпертензивних станів вагітності </w:t>
      </w:r>
      <w:r>
        <w:rPr>
          <w:rFonts w:ascii="Times New Roman" w:hAnsi="Times New Roman"/>
          <w:sz w:val="28"/>
          <w:szCs w:val="28"/>
          <w:lang w:val="uk-UA"/>
        </w:rPr>
        <w:t>….…19</w:t>
      </w:r>
    </w:p>
    <w:p w14:paraId="180A88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Етіологія та патогенез прееклампсії</w:t>
      </w:r>
      <w:r>
        <w:rPr>
          <w:rFonts w:ascii="Times New Roman" w:hAnsi="Times New Roman"/>
          <w:sz w:val="28"/>
          <w:szCs w:val="28"/>
          <w:lang w:val="uk-UA"/>
        </w:rPr>
        <w:t xml:space="preserve"> …………………………………… .20</w:t>
      </w:r>
    </w:p>
    <w:p w14:paraId="672C1C9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Клініка й діагностика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гіпертензивних станів вагітності</w:t>
      </w:r>
      <w:r>
        <w:rPr>
          <w:rFonts w:ascii="Times New Roman" w:hAnsi="Times New Roman"/>
          <w:sz w:val="28"/>
          <w:szCs w:val="28"/>
          <w:lang w:val="uk-UA"/>
        </w:rPr>
        <w:t xml:space="preserve"> ……………..23</w:t>
      </w:r>
    </w:p>
    <w:p w14:paraId="2252931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ринципи лікування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та  профілактики прееклампсії</w:t>
      </w:r>
      <w:r>
        <w:rPr>
          <w:rFonts w:ascii="Times New Roman" w:hAnsi="Times New Roman"/>
          <w:sz w:val="28"/>
          <w:szCs w:val="28"/>
          <w:lang w:val="uk-UA"/>
        </w:rPr>
        <w:t xml:space="preserve"> ……..………...........26</w:t>
      </w:r>
    </w:p>
    <w:p w14:paraId="488D75D1">
      <w:pPr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Гестаційна гіпертензія (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гіпертензія під час вагітності)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….</w:t>
      </w:r>
      <w:r>
        <w:rPr>
          <w:rFonts w:ascii="Times New Roman" w:hAnsi="Times New Roman"/>
          <w:sz w:val="28"/>
          <w:szCs w:val="28"/>
          <w:lang w:val="uk-UA"/>
        </w:rPr>
        <w:t>……………28</w:t>
      </w:r>
    </w:p>
    <w:p w14:paraId="769ADD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Методика вимірювання артеріального тиску під час вагітності</w:t>
      </w:r>
      <w:r>
        <w:rPr>
          <w:rFonts w:ascii="Times New Roman" w:hAnsi="Times New Roman"/>
          <w:sz w:val="28"/>
          <w:szCs w:val="28"/>
          <w:lang w:val="uk-UA"/>
        </w:rPr>
        <w:t xml:space="preserve"> …………30</w:t>
      </w:r>
    </w:p>
    <w:p w14:paraId="0DB67E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b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Клінічний супровід вагітних жінок із хронічною </w:t>
      </w:r>
    </w:p>
    <w:p w14:paraId="2E36FC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uk-UA"/>
        </w:rPr>
        <w:t>артеріальною гіпертензією……………………………………………  …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32</w:t>
      </w:r>
    </w:p>
    <w:p w14:paraId="0E8D454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Клінічний супровід вагітних жінок із гестаційною гіпертензією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……35</w:t>
      </w:r>
    </w:p>
    <w:p w14:paraId="5CA7717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uk-UA"/>
        </w:rPr>
        <w:t>Прееклампсія</w:t>
      </w:r>
      <w:r>
        <w:rPr>
          <w:rFonts w:ascii="Times New Roman" w:hAnsi="Times New Roman"/>
          <w:sz w:val="28"/>
          <w:szCs w:val="28"/>
          <w:lang w:val="uk-UA"/>
        </w:rPr>
        <w:t xml:space="preserve"> ………………………………………………….……………38</w:t>
      </w:r>
    </w:p>
    <w:p w14:paraId="4D903C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Клінічний супровід пацієнток із прееклампсією</w:t>
      </w:r>
      <w:r>
        <w:rPr>
          <w:rFonts w:ascii="Times New Roman" w:hAnsi="Times New Roman"/>
          <w:sz w:val="28"/>
          <w:szCs w:val="28"/>
          <w:lang w:val="uk-UA"/>
        </w:rPr>
        <w:t xml:space="preserve"> …………….…………..  44</w:t>
      </w:r>
    </w:p>
    <w:p w14:paraId="3171B5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</w:rPr>
        <w:t>Особливості медичної допомоги за тяжкої прееклампсії</w:t>
      </w:r>
      <w:r>
        <w:rPr>
          <w:rFonts w:ascii="Times New Roman" w:hAnsi="Times New Roman"/>
          <w:sz w:val="28"/>
          <w:szCs w:val="28"/>
          <w:lang w:val="uk-UA"/>
        </w:rPr>
        <w:t xml:space="preserve"> ……….………..49</w:t>
      </w:r>
    </w:p>
    <w:p w14:paraId="725BAC6A">
      <w:pPr>
        <w:pStyle w:val="7"/>
        <w:spacing w:line="360" w:lineRule="auto"/>
        <w:rPr>
          <w:color w:val="auto"/>
          <w:sz w:val="28"/>
          <w:szCs w:val="28"/>
          <w:lang w:val="uk-UA"/>
        </w:rPr>
      </w:pPr>
      <w:r>
        <w:rPr>
          <w:b/>
          <w:bCs/>
          <w:iCs/>
          <w:sz w:val="28"/>
          <w:szCs w:val="28"/>
        </w:rPr>
        <w:t>Еклампсія</w:t>
      </w:r>
      <w:r>
        <w:rPr>
          <w:color w:val="auto"/>
          <w:sz w:val="28"/>
          <w:szCs w:val="28"/>
          <w:lang w:val="uk-UA"/>
        </w:rPr>
        <w:t xml:space="preserve"> ………………………………………………………………...…53</w:t>
      </w:r>
    </w:p>
    <w:p w14:paraId="41F24E60">
      <w:pPr>
        <w:pStyle w:val="7"/>
        <w:spacing w:line="360" w:lineRule="auto"/>
        <w:rPr>
          <w:color w:val="auto"/>
          <w:sz w:val="28"/>
          <w:szCs w:val="28"/>
          <w:lang w:val="uk-UA"/>
        </w:rPr>
      </w:pPr>
      <w:r>
        <w:rPr>
          <w:bCs/>
          <w:iCs/>
          <w:sz w:val="28"/>
          <w:szCs w:val="28"/>
        </w:rPr>
        <w:t>Тактика ведення у разі еклампсії</w:t>
      </w:r>
      <w:r>
        <w:rPr>
          <w:bCs/>
          <w:color w:val="auto"/>
          <w:sz w:val="28"/>
          <w:szCs w:val="28"/>
          <w:lang w:val="uk-UA"/>
        </w:rPr>
        <w:t xml:space="preserve"> ………………………………………......</w:t>
      </w:r>
      <w:r>
        <w:rPr>
          <w:color w:val="auto"/>
          <w:sz w:val="28"/>
          <w:szCs w:val="28"/>
          <w:lang w:val="uk-UA"/>
        </w:rPr>
        <w:t>58</w:t>
      </w:r>
    </w:p>
    <w:p w14:paraId="007228E2">
      <w:pPr>
        <w:pStyle w:val="7"/>
        <w:spacing w:line="360" w:lineRule="auto"/>
        <w:rPr>
          <w:b/>
          <w:bCs/>
          <w:iCs/>
          <w:sz w:val="28"/>
          <w:szCs w:val="28"/>
          <w:lang w:val="uk-UA"/>
        </w:rPr>
      </w:pPr>
      <w:r>
        <w:rPr>
          <w:b/>
          <w:bCs/>
          <w:iCs/>
          <w:sz w:val="28"/>
          <w:szCs w:val="28"/>
        </w:rPr>
        <w:t xml:space="preserve">Загальні вимоги до ведення хворих з тяжкими формами </w:t>
      </w:r>
    </w:p>
    <w:p w14:paraId="5CE3FB7A">
      <w:pPr>
        <w:pStyle w:val="7"/>
        <w:spacing w:line="360" w:lineRule="auto"/>
        <w:rPr>
          <w:color w:val="auto"/>
          <w:sz w:val="28"/>
          <w:szCs w:val="28"/>
          <w:lang w:val="uk-UA"/>
        </w:rPr>
      </w:pPr>
      <w:r>
        <w:rPr>
          <w:b/>
          <w:bCs/>
          <w:iCs/>
          <w:sz w:val="28"/>
          <w:szCs w:val="28"/>
          <w:lang w:val="uk-UA"/>
        </w:rPr>
        <w:t>пізнього гестоза</w:t>
      </w:r>
      <w:r>
        <w:rPr>
          <w:color w:val="auto"/>
          <w:sz w:val="28"/>
          <w:szCs w:val="28"/>
          <w:lang w:val="uk-UA"/>
        </w:rPr>
        <w:t>……………………………………………………………. 65</w:t>
      </w:r>
    </w:p>
    <w:p w14:paraId="313362D8">
      <w:pPr>
        <w:pStyle w:val="7"/>
        <w:spacing w:line="360" w:lineRule="auto"/>
        <w:rPr>
          <w:color w:val="auto"/>
          <w:sz w:val="28"/>
          <w:szCs w:val="28"/>
          <w:lang w:val="uk-UA"/>
        </w:rPr>
      </w:pPr>
      <w:r>
        <w:rPr>
          <w:b/>
          <w:sz w:val="28"/>
          <w:szCs w:val="28"/>
        </w:rPr>
        <w:t>HELLP</w:t>
      </w:r>
      <w:r>
        <w:rPr>
          <w:b/>
          <w:sz w:val="28"/>
          <w:szCs w:val="28"/>
          <w:lang w:val="uk-UA"/>
        </w:rPr>
        <w:t>-синдром</w:t>
      </w:r>
      <w:r>
        <w:rPr>
          <w:color w:val="auto"/>
          <w:sz w:val="28"/>
          <w:szCs w:val="28"/>
          <w:lang w:val="uk-UA"/>
        </w:rPr>
        <w:t xml:space="preserve"> ………… ………………………………………………...67</w:t>
      </w:r>
    </w:p>
    <w:p w14:paraId="7B94F270">
      <w:pPr>
        <w:pStyle w:val="7"/>
        <w:spacing w:line="360" w:lineRule="auto"/>
        <w:rPr>
          <w:bCs/>
          <w:iCs/>
          <w:color w:val="auto"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Клініка і діагностика HELLP-синдрому……………………………………69</w:t>
      </w:r>
    </w:p>
    <w:p w14:paraId="03C98179">
      <w:pPr>
        <w:spacing w:line="36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Лікування HELLP-синдрому………………………………………………..78</w:t>
      </w:r>
    </w:p>
    <w:p w14:paraId="3780CDE5">
      <w:pPr>
        <w:widowControl w:val="0"/>
        <w:autoSpaceDE w:val="0"/>
        <w:autoSpaceDN w:val="0"/>
        <w:spacing w:line="360" w:lineRule="auto"/>
        <w:rPr>
          <w:rFonts w:ascii="Times New Roman" w:hAnsi="Times New Roman" w:eastAsia="Times New Roman"/>
          <w:sz w:val="28"/>
          <w:szCs w:val="28"/>
          <w:lang w:val="uk-UA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val="uk-UA" w:eastAsia="ru-RU"/>
        </w:rPr>
        <w:t>Матеріали методичного забезпечення заняття</w:t>
      </w:r>
    </w:p>
    <w:p w14:paraId="63678D1A">
      <w:pPr>
        <w:widowControl w:val="0"/>
        <w:shd w:val="clear" w:color="auto" w:fill="FFFFFF"/>
        <w:autoSpaceDE w:val="0"/>
        <w:autoSpaceDN w:val="0"/>
        <w:spacing w:line="360" w:lineRule="auto"/>
        <w:ind w:right="-70"/>
        <w:rPr>
          <w:rFonts w:ascii="Times New Roman" w:hAnsi="Times New Roman" w:eastAsia="Times New Roman"/>
          <w:sz w:val="28"/>
          <w:szCs w:val="28"/>
          <w:lang w:val="uk-UA" w:eastAsia="ru-RU"/>
        </w:rPr>
      </w:pPr>
      <w:r>
        <w:rPr>
          <w:rFonts w:ascii="Times New Roman" w:hAnsi="Times New Roman" w:eastAsia="Times New Roman"/>
          <w:sz w:val="28"/>
          <w:szCs w:val="28"/>
          <w:lang w:val="uk-UA" w:eastAsia="ru-RU"/>
        </w:rPr>
        <w:t>Теоретичні  запитання  засвоєння теми………………………………………...86</w:t>
      </w:r>
    </w:p>
    <w:p w14:paraId="23BE3E7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Завдання для самостійної роботи на основному етапі заняття…………….…87</w:t>
      </w:r>
    </w:p>
    <w:p w14:paraId="169D00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right" w:pos="9639"/>
        </w:tabs>
        <w:spacing w:line="360" w:lineRule="auto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Ситуаційні задачі для оцінки кінцевого рівня знань………………………..…87</w:t>
      </w:r>
    </w:p>
    <w:p w14:paraId="201BAC9D">
      <w:pPr>
        <w:widowControl w:val="0"/>
        <w:shd w:val="clear" w:color="auto" w:fill="FFFFFF"/>
        <w:autoSpaceDE w:val="0"/>
        <w:autoSpaceDN w:val="0"/>
        <w:spacing w:line="360" w:lineRule="auto"/>
        <w:ind w:right="-70"/>
        <w:rPr>
          <w:rFonts w:ascii="Times New Roman" w:hAnsi="Times New Roman" w:eastAsia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Типові тестові завдання для оцінки кінцевого рівня знань…………………...89</w:t>
      </w:r>
    </w:p>
    <w:p w14:paraId="60B9D1B5">
      <w:pPr>
        <w:widowControl w:val="0"/>
        <w:shd w:val="clear" w:color="auto" w:fill="FFFFFF"/>
        <w:autoSpaceDE w:val="0"/>
        <w:autoSpaceDN w:val="0"/>
        <w:spacing w:line="360" w:lineRule="auto"/>
        <w:ind w:right="-70"/>
        <w:rPr>
          <w:rFonts w:ascii="Times New Roman" w:hAnsi="Times New Roman" w:eastAsia="Times New Roman"/>
          <w:b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РЕКОМЕНДОВАНА ЛІТЕРАТУРА</w:t>
      </w:r>
      <w:r>
        <w:rPr>
          <w:rFonts w:ascii="Times New Roman" w:hAnsi="Times New Roman"/>
          <w:sz w:val="28"/>
          <w:szCs w:val="28"/>
          <w:lang w:val="uk-UA"/>
        </w:rPr>
        <w:t>…………………………………………91</w:t>
      </w:r>
    </w:p>
    <w:p w14:paraId="7739D538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036C83"/>
    <w:rsid w:val="2203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eastAsia="SimSun" w:asciiTheme="minorHAnsi" w:hAnsiTheme="minorHAnsi" w:cstheme="minorBidi"/>
      <w:sz w:val="24"/>
      <w:szCs w:val="24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5">
    <w:name w:val="Body Text Indent"/>
    <w:basedOn w:val="1"/>
    <w:semiHidden/>
    <w:uiPriority w:val="0"/>
    <w:pPr>
      <w:widowControl w:val="0"/>
      <w:ind w:firstLine="851"/>
      <w:jc w:val="both"/>
    </w:pPr>
    <w:rPr>
      <w:rFonts w:ascii="Times New Roman" w:hAnsi="Times New Roman" w:eastAsia="Times New Roman" w:cs="Times New Roman"/>
      <w:snapToGrid w:val="0"/>
      <w:sz w:val="28"/>
      <w:szCs w:val="20"/>
      <w:lang w:val="uk-UA" w:eastAsia="ru-RU"/>
    </w:rPr>
  </w:style>
  <w:style w:type="paragraph" w:styleId="6">
    <w:name w:val="List Paragraph"/>
    <w:basedOn w:val="1"/>
    <w:qFormat/>
    <w:uiPriority w:val="0"/>
    <w:pPr>
      <w:ind w:left="720"/>
      <w:contextualSpacing/>
    </w:pPr>
  </w:style>
  <w:style w:type="paragraph" w:customStyle="1" w:styleId="7">
    <w:name w:val="Default"/>
    <w:uiPriority w:val="0"/>
    <w:pPr>
      <w:autoSpaceDE w:val="0"/>
      <w:autoSpaceDN w:val="0"/>
      <w:adjustRightInd w:val="0"/>
    </w:pPr>
    <w:rPr>
      <w:rFonts w:ascii="Times New Roman" w:hAnsi="Times New Roman" w:eastAsia="SimSun" w:cs="Times New Roman"/>
      <w:color w:val="000000"/>
      <w:sz w:val="24"/>
      <w:szCs w:val="24"/>
      <w:lang w:val="ru-RU" w:eastAsia="uk-UA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Office_12.2.0.18638_F1E327BC-269C-435d-A152-05C5408002CA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2024-10-30T09:10:00Z</dcterms:created>
  <dc:creator>Kirich</dc:creator>
  <cp:lastModifiedBy>Kirich</cp:lastModifiedBy>
  <dcterms:modified xsi:type="dcterms:W3CDTF">2024-10-30T09:12:11Z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1033-12.2.0.18638</vt:lpwstr>
  </property>
  <property fmtid="{D5CDD505-2E9C-101B-9397-08002B2CF9AE}" pid="3" name="ICV">
    <vt:lpwstr>0122513C628548759F623760AAC32081_11</vt:lpwstr>
  </property>
</Properties>
</file>